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Arial" w:hAnsi="Arial" w:eastAsia="黑体"/>
          <w:b/>
          <w:bCs/>
          <w:color w:val="000000"/>
          <w:sz w:val="84"/>
          <w:szCs w:val="24"/>
        </w:rPr>
      </w:r>
      <w:r/>
    </w:p>
    <w:p>
      <w:pPr>
        <w:pStyle w:val="735"/>
        <w:rPr>
          <w:rFonts w:hint="eastAsia"/>
        </w:rPr>
      </w:pPr>
      <w:r>
        <w:rPr>
          <w:rFonts w:hint="eastAsia"/>
        </w:rPr>
      </w:r>
      <w:r/>
    </w:p>
    <w:p>
      <w:pPr>
        <w:pStyle w:val="752"/>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56"/>
        <w:ind w:firstLine="1506"/>
        <w:rPr>
          <w:b/>
          <w:sz w:val="30"/>
          <w:szCs w:val="30"/>
          <w:u w:val="single"/>
        </w:rPr>
      </w:pPr>
      <w:r>
        <w:rPr>
          <w:rFonts w:hint="eastAsia"/>
          <w:b/>
          <w:sz w:val="30"/>
          <w:szCs w:val="30"/>
        </w:rPr>
        <w:t xml:space="preserve">项目名称：江宁区智慧渣土监管平台项目建设</w:t>
      </w:r>
      <w:r>
        <w:rPr>
          <w:b/>
          <w:sz w:val="30"/>
          <w:szCs w:val="30"/>
          <w:u w:val="single"/>
        </w:rPr>
      </w:r>
      <w:r/>
    </w:p>
    <w:p>
      <w:pPr>
        <w:pStyle w:val="656"/>
        <w:ind w:firstLine="1506"/>
        <w:rPr>
          <w:rFonts w:hint="eastAsia"/>
          <w:b/>
          <w:color w:val="ff0000"/>
          <w:sz w:val="30"/>
          <w:szCs w:val="30"/>
        </w:rPr>
      </w:pPr>
      <w:r>
        <w:rPr>
          <w:rFonts w:hint="eastAsia"/>
          <w:b/>
          <w:sz w:val="30"/>
          <w:szCs w:val="30"/>
        </w:rPr>
        <w:t xml:space="preserve">项目编号：JSZC-320115-JZCG-G2026-0016</w:t>
      </w:r>
      <w:r>
        <w:rPr>
          <w:rFonts w:hint="eastAsia"/>
          <w:b/>
          <w:color w:val="0000ff"/>
          <w:sz w:val="32"/>
          <w:szCs w:val="32"/>
        </w:rPr>
        <w:t xml:space="preserve">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656"/>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52"/>
        <w:ind w:firstLine="0"/>
        <w:jc w:val="center"/>
        <w:rPr>
          <w:b/>
          <w:bCs/>
          <w:sz w:val="32"/>
        </w:rPr>
      </w:pPr>
      <w:r>
        <w:rPr>
          <w:rFonts w:hint="eastAsia"/>
          <w:b/>
          <w:bCs/>
          <w:sz w:val="32"/>
        </w:rPr>
        <w:t xml:space="preserve">南京市公共资源交易中心江宁分中心</w:t>
      </w:r>
      <w:r>
        <w:rPr>
          <w:b/>
          <w:bCs/>
          <w:sz w:val="32"/>
        </w:rPr>
      </w:r>
      <w:r/>
    </w:p>
    <w:p>
      <w:pPr>
        <w:pStyle w:val="656"/>
        <w:jc w:val="center"/>
        <w:rPr>
          <w:rFonts w:hint="eastAsia"/>
          <w:b/>
          <w:sz w:val="32"/>
          <w:szCs w:val="32"/>
        </w:rPr>
      </w:pPr>
      <w:r>
        <w:rPr>
          <w:rFonts w:hint="eastAsia"/>
          <w:b/>
          <w:sz w:val="32"/>
          <w:szCs w:val="32"/>
        </w:rPr>
        <w:t xml:space="preserve">2026年5月</w:t>
      </w:r>
      <w:r>
        <w:rPr>
          <w:rFonts w:hint="eastAsia"/>
          <w:b/>
          <w:sz w:val="32"/>
          <w:szCs w:val="32"/>
        </w:rPr>
      </w:r>
      <w:r/>
    </w:p>
    <w:p>
      <w:pPr>
        <w:pStyle w:val="65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6"/>
        <w:jc w:val="center"/>
        <w:spacing w:before="120" w:after="120" w:line="360" w:lineRule="auto"/>
        <w:rPr>
          <w:rFonts w:hint="eastAsia" w:ascii="黑体" w:hAnsi="Arial" w:eastAsia="黑体"/>
          <w:b/>
          <w:color w:val="000000"/>
          <w:sz w:val="44"/>
        </w:rPr>
      </w:pPr>
      <w:r>
        <w:rPr>
          <w:rFonts w:hint="eastAsia" w:ascii="Arial" w:hAnsi="Arial"/>
          <w:color w:val="000000"/>
          <w:sz w:val="24"/>
          <w:szCs w:val="24"/>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656"/>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56"/>
        <w:ind w:firstLine="480"/>
        <w:rPr>
          <w:rFonts w:hint="eastAsia" w:ascii="宋体" w:hAnsi="宋体"/>
          <w:sz w:val="24"/>
          <w:szCs w:val="24"/>
        </w:rPr>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受南京市江宁区城市管理局（采购单位）委托，南京市公共资源交易中心江宁分中心（以下简称“交易中心”）就江宁区智慧渣土监管平台（项目名称）进行公开招标采购，欢迎符合条件的供应商投标。</w:t>
      </w:r>
      <w:r>
        <w:rPr>
          <w:rFonts w:ascii="宋体" w:hAnsi="宋体"/>
          <w:sz w:val="24"/>
          <w:szCs w:val="24"/>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656"/>
        <w:ind w:firstLine="480"/>
        <w:rPr>
          <w:rFonts w:ascii="宋体" w:hAnsi="宋体"/>
          <w:sz w:val="24"/>
          <w:szCs w:val="24"/>
        </w:rPr>
      </w:pPr>
      <w:r/>
      <w:bookmarkEnd w:id="11"/>
      <w:r>
        <w:rPr>
          <w:rFonts w:hint="eastAsia" w:ascii="宋体" w:hAnsi="宋体"/>
          <w:sz w:val="24"/>
          <w:szCs w:val="24"/>
        </w:rPr>
        <w:t xml:space="preserve">1.项目编号：JSZC-320115-JZCG-G2026-0016</w:t>
      </w:r>
      <w:r>
        <w:rPr>
          <w:rFonts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2.项目名称：江宁区智慧渣土监管平台项目建设</w:t>
      </w:r>
      <w:r>
        <w:rPr>
          <w:rFonts w:hint="eastAsia"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3.预算金额：245.75万元</w:t>
      </w:r>
      <w:r>
        <w:rPr>
          <w:rFonts w:ascii="宋体" w:hAnsi="宋体"/>
          <w:sz w:val="24"/>
          <w:szCs w:val="24"/>
        </w:rPr>
      </w:r>
      <w:r/>
    </w:p>
    <w:p>
      <w:pPr>
        <w:pStyle w:val="656"/>
        <w:ind w:firstLine="480"/>
        <w:rPr>
          <w:rFonts w:hint="eastAsia" w:ascii="宋体" w:hAnsi="宋体" w:cs="宋体"/>
          <w:sz w:val="24"/>
          <w:szCs w:val="24"/>
          <w:highlight w:val="yellow"/>
        </w:rPr>
      </w:pPr>
      <w:r>
        <w:rPr>
          <w:rFonts w:hint="eastAsia" w:ascii="宋体" w:hAnsi="宋体"/>
          <w:sz w:val="24"/>
          <w:szCs w:val="24"/>
        </w:rPr>
        <w:t xml:space="preserve">4.最高限价：245.75万元</w:t>
      </w:r>
      <w:r>
        <w:rPr>
          <w:rFonts w:hint="eastAsia" w:ascii="宋体" w:hAnsi="宋体" w:cs="宋体"/>
          <w:sz w:val="24"/>
          <w:szCs w:val="24"/>
          <w:highlight w:val="yellow"/>
        </w:rPr>
      </w:r>
      <w:r/>
    </w:p>
    <w:p>
      <w:pPr>
        <w:pStyle w:val="656"/>
        <w:ind w:firstLine="480"/>
        <w:rPr>
          <w:rFonts w:ascii="宋体" w:hAnsi="宋体"/>
          <w:sz w:val="24"/>
          <w:szCs w:val="24"/>
          <w:u w:val="single"/>
        </w:rPr>
      </w:pPr>
      <w:r>
        <w:rPr>
          <w:rFonts w:hint="eastAsia" w:ascii="宋体" w:hAnsi="宋体"/>
          <w:sz w:val="24"/>
          <w:szCs w:val="24"/>
        </w:rPr>
        <w:t xml:space="preserve">5.采购需求（简介）：江宁区智慧渣土监管平台建设项目平台功能建设主要包括基础数据管理子系统、渣土监管驾驶舱、分析研判子系统、三证合一线上审批子系统等 12 个核心模块的开发与优化，重塑信息化监管流程，发挥多部门联动作用。</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6"/>
        <w:ind w:firstLine="480"/>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合同签订后三个月完成系统基本功能开发，并开始试运行工作。后续三个月持续优化完善，在第七个月内完成项目整体交付工作。项目交付通过后进入30天试运行期，试运行期结束后需提供3年维保服务。</w:t>
      </w:r>
      <w:r>
        <w:rPr>
          <w:rFonts w:hint="eastAsia" w:ascii="宋体" w:hAnsi="宋体" w:cs="宋体"/>
          <w:sz w:val="24"/>
          <w:szCs w:val="24"/>
          <w:highlight w:val="yellow"/>
        </w:rPr>
      </w:r>
      <w:r/>
    </w:p>
    <w:p>
      <w:pPr>
        <w:pStyle w:val="656"/>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bookmarkStart w:id="12" w:name="_Toc28359003"/>
      <w:r/>
      <w:bookmarkStart w:id="13" w:name="_Toc38985264"/>
      <w:r/>
      <w:bookmarkStart w:id="14" w:name="_Toc35393622"/>
      <w:r/>
      <w:bookmarkStart w:id="15" w:name="_Toc28359080"/>
      <w:r/>
      <w:bookmarkStart w:id="16" w:name="_Toc35393791"/>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656"/>
        <w:ind w:firstLine="480"/>
        <w:rPr>
          <w:rFonts w:hint="eastAsia" w:ascii="宋体" w:hAnsi="宋体"/>
          <w:sz w:val="24"/>
          <w:szCs w:val="24"/>
        </w:rPr>
      </w:pPr>
      <w:r/>
      <w:bookmarkStart w:id="17" w:name="_Toc35393792"/>
      <w:r/>
      <w:bookmarkStart w:id="18" w:name="_Toc28359004"/>
      <w:r/>
      <w:bookmarkStart w:id="19" w:name="_Toc38985265"/>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6"/>
        <w:ind w:firstLine="480"/>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56"/>
        <w:ind w:firstLine="480"/>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56"/>
        <w:ind w:firstLine="480"/>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Pr>
          <w:rFonts w:hint="eastAsia" w:ascii="宋体" w:hAnsi="宋体"/>
          <w:sz w:val="24"/>
          <w:szCs w:val="24"/>
          <w:highlight w:val="yellow"/>
        </w:rPr>
      </w:r>
      <w:r/>
    </w:p>
    <w:p>
      <w:pPr>
        <w:pStyle w:val="656"/>
        <w:ind w:firstLine="480"/>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szCs w:val="24"/>
        </w:rPr>
      </w:r>
      <w:r/>
    </w:p>
    <w:p>
      <w:pPr>
        <w:pStyle w:val="656"/>
        <w:ind w:firstLine="480"/>
        <w:jc w:val="left"/>
        <w:rPr>
          <w:rFonts w:hint="eastAsia" w:ascii="宋体" w:hAnsi="宋体"/>
          <w:sz w:val="24"/>
          <w:szCs w:val="24"/>
        </w:rPr>
      </w:pPr>
      <w:r>
        <w:rPr>
          <w:rFonts w:hint="eastAsia" w:ascii="宋体" w:hAnsi="宋体"/>
          <w:sz w:val="24"/>
          <w:szCs w:val="24"/>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56"/>
        <w:ind w:firstLine="480"/>
        <w:rPr>
          <w:rFonts w:hint="eastAsia" w:ascii="宋体" w:hAnsi="宋体"/>
          <w:color w:val="0000ff"/>
          <w:sz w:val="24"/>
          <w:szCs w:val="24"/>
        </w:rPr>
      </w:pPr>
      <w:r>
        <w:rPr>
          <w:rFonts w:hint="eastAsia" w:ascii="宋体" w:hAnsi="宋体"/>
          <w:sz w:val="24"/>
          <w:szCs w:val="24"/>
        </w:rPr>
        <w:t xml:space="preserve">（二）本项目的特定资格要求：无</w:t>
      </w:r>
      <w:r>
        <w:rPr>
          <w:rFonts w:hint="eastAsia" w:ascii="宋体" w:hAnsi="宋体"/>
          <w:color w:val="0000ff"/>
          <w:sz w:val="24"/>
          <w:szCs w:val="24"/>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656"/>
        <w:ind w:firstLine="480"/>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656"/>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656"/>
        <w:ind w:firstLine="480"/>
        <w:rPr>
          <w:rFonts w:hint="eastAsia" w:ascii="宋体" w:hAnsi="宋体"/>
          <w:bCs/>
          <w:sz w:val="24"/>
          <w:szCs w:val="24"/>
          <w:u w:val="single"/>
        </w:rPr>
      </w:pPr>
      <w:r/>
      <w:bookmarkStart w:id="27" w:name="_Toc28359084"/>
      <w:r/>
      <w:bookmarkStart w:id="28" w:name="_Toc35393794"/>
      <w:r/>
      <w:bookmarkStart w:id="29" w:name="_Toc38985267"/>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bCs/>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bCs/>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bCs/>
          <w:color w:val="000000"/>
          <w:sz w:val="24"/>
          <w:szCs w:val="24"/>
          <w:highlight w:val="none"/>
        </w:rPr>
        <w:t xml:space="preserve">时</w:t>
      </w:r>
      <w:r>
        <w:rPr>
          <w:rFonts w:hint="eastAsia" w:ascii="宋体" w:hAnsi="宋体" w:cs="宋体"/>
          <w:color w:val="000000"/>
          <w:sz w:val="24"/>
          <w:szCs w:val="24"/>
          <w:highlight w:val="none"/>
          <w:lang w:val="en-US" w:eastAsia="zh-CN"/>
        </w:rPr>
        <w:t xml:space="preserve">00</w:t>
      </w:r>
      <w:r>
        <w:rPr>
          <w:rFonts w:hint="eastAsia" w:ascii="宋体" w:hAnsi="宋体"/>
          <w:bCs/>
          <w:color w:val="000000"/>
          <w:sz w:val="24"/>
          <w:szCs w:val="24"/>
          <w:highlight w:val="none"/>
        </w:rPr>
        <w:t xml:space="preserve">分（北</w:t>
      </w:r>
      <w:r>
        <w:rPr>
          <w:rFonts w:hint="eastAsia" w:ascii="宋体" w:hAnsi="宋体"/>
          <w:bCs/>
          <w:sz w:val="24"/>
          <w:szCs w:val="24"/>
        </w:rPr>
        <w:t xml:space="preserve">京时间）。</w:t>
      </w:r>
      <w:r>
        <w:rPr>
          <w:rFonts w:hint="eastAsia" w:ascii="宋体" w:hAnsi="宋体"/>
          <w:bCs/>
          <w:sz w:val="24"/>
          <w:szCs w:val="24"/>
          <w:u w:val="single"/>
        </w:rPr>
      </w:r>
      <w:r/>
    </w:p>
    <w:p>
      <w:pPr>
        <w:pStyle w:val="656"/>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656"/>
        <w:ind w:firstLine="480"/>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656"/>
        <w:ind w:firstLine="480"/>
        <w:tabs>
          <w:tab w:val="left" w:pos="900" w:leader="none"/>
        </w:tabs>
        <w:rPr>
          <w:rFonts w:hint="eastAsia" w:ascii="宋体" w:hAnsi="宋体"/>
          <w:bCs/>
          <w:sz w:val="24"/>
          <w:szCs w:val="24"/>
        </w:rPr>
      </w:pPr>
      <w:r/>
      <w:bookmarkStart w:id="35" w:name="_Toc28359008"/>
      <w:r/>
      <w:bookmarkStart w:id="36" w:name="_Toc35393627"/>
      <w:r/>
      <w:bookmarkStart w:id="37" w:name="_Toc28359085"/>
      <w:r/>
      <w:bookmarkStart w:id="38" w:name="_Toc35393796"/>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6"/>
        <w:ind w:firstLine="480"/>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656"/>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6"/>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56"/>
        <w:ind w:firstLine="482"/>
        <w:rPr>
          <w:rFonts w:hint="eastAsia" w:ascii="宋体" w:hAnsi="宋体"/>
          <w:b/>
          <w:bCs/>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b/>
          <w:bCs/>
          <w:sz w:val="24"/>
          <w:lang w:val="zh-CN"/>
        </w:rPr>
      </w:r>
      <w:r/>
    </w:p>
    <w:p>
      <w:pPr>
        <w:pStyle w:val="656"/>
        <w:ind w:firstLine="482"/>
        <w:spacing w:line="252" w:lineRule="auto"/>
        <w:rPr>
          <w:rFonts w:hint="eastAsia"/>
          <w:lang w:val="zh-CN"/>
        </w:rPr>
      </w:pPr>
      <w:r>
        <w:rPr>
          <w:rFonts w:hint="eastAsia" w:ascii="宋体" w:hAnsi="宋体"/>
          <w:b/>
          <w:bCs/>
          <w:sz w:val="24"/>
        </w:rPr>
        <w:t xml:space="preserve">供应商提出质疑函应提交《质疑函》原件，且尽可能通过邮寄方式送达，交易中心和采购人不接受无运单快件。</w:t>
      </w:r>
      <w:r>
        <w:rPr>
          <w:rFonts w:hint="eastAsia"/>
          <w:lang w:val="zh-CN"/>
        </w:rPr>
      </w:r>
      <w:r/>
    </w:p>
    <w:p>
      <w:pPr>
        <w:pStyle w:val="656"/>
        <w:ind w:firstLine="480"/>
        <w:rPr>
          <w:rFonts w:ascii="宋体" w:hAnsi="宋体"/>
          <w:sz w:val="24"/>
        </w:rPr>
      </w:pPr>
      <w:r>
        <w:rPr>
          <w:rFonts w:hint="eastAsia" w:ascii="宋体" w:hAnsi="宋体"/>
          <w:sz w:val="24"/>
        </w:rPr>
        <w:t xml:space="preserve">采购人《质疑函》收件人：秦弘，收件地址：</w:t>
      </w:r>
      <w:r>
        <w:rPr>
          <w:rFonts w:hint="eastAsia" w:ascii="宋体" w:hAnsi="宋体" w:cs="宋体"/>
          <w:sz w:val="24"/>
          <w:szCs w:val="24"/>
        </w:rPr>
        <w:t xml:space="preserve">南京市</w:t>
      </w:r>
      <w:r>
        <w:rPr>
          <w:rFonts w:hint="eastAsia" w:ascii="宋体" w:hAnsi="宋体"/>
          <w:sz w:val="24"/>
          <w:szCs w:val="24"/>
        </w:rPr>
        <w:t xml:space="preserve">江宁</w:t>
      </w:r>
      <w:r>
        <w:rPr>
          <w:rFonts w:hint="eastAsia" w:ascii="宋体" w:hAnsi="宋体" w:cs="宋体"/>
          <w:sz w:val="24"/>
          <w:szCs w:val="24"/>
        </w:rPr>
        <w:t xml:space="preserve">区天印大道669号，</w:t>
      </w:r>
      <w:r>
        <w:rPr>
          <w:rFonts w:hint="eastAsia" w:ascii="宋体" w:hAnsi="宋体"/>
          <w:sz w:val="24"/>
        </w:rPr>
        <w:t xml:space="preserve">联系电话：025-52190456。</w:t>
      </w:r>
      <w:r>
        <w:rPr>
          <w:rFonts w:ascii="宋体" w:hAnsi="宋体"/>
          <w:sz w:val="24"/>
        </w:rPr>
      </w:r>
      <w:r/>
    </w:p>
    <w:p>
      <w:pPr>
        <w:pStyle w:val="656"/>
        <w:ind w:firstLine="480"/>
        <w:widowControl/>
        <w:rPr>
          <w:rFonts w:hint="eastAsia" w:ascii="宋体" w:hAnsi="宋体" w:cs="宋体"/>
          <w:b/>
          <w:bCs/>
          <w:sz w:val="24"/>
          <w:szCs w:val="24"/>
        </w:rPr>
      </w:pPr>
      <w:r>
        <w:rPr>
          <w:rFonts w:hint="eastAsia" w:ascii="宋体" w:hAnsi="宋体" w:cs="宋体"/>
          <w:sz w:val="24"/>
          <w:szCs w:val="24"/>
          <w:lang w:val="zh-CN"/>
        </w:rPr>
        <w:t xml:space="preserve">交易中心《质疑函》收件人：</w:t>
      </w:r>
      <w:r>
        <w:rPr>
          <w:rFonts w:hint="eastAsia" w:ascii="宋体" w:hAnsi="宋体"/>
          <w:sz w:val="24"/>
          <w:lang w:val="zh-CN"/>
        </w:rPr>
        <w:t xml:space="preserve">南京市公共资源交易中心江宁分中心业务受理科</w:t>
      </w:r>
      <w:r>
        <w:rPr>
          <w:rFonts w:hint="eastAsia" w:ascii="宋体" w:hAnsi="宋体" w:cs="宋体"/>
          <w:sz w:val="24"/>
          <w:szCs w:val="24"/>
          <w:lang w:val="zh-CN"/>
        </w:rPr>
        <w:t xml:space="preserve">，</w:t>
      </w:r>
      <w:r>
        <w:rPr>
          <w:rFonts w:hint="eastAsia" w:ascii="宋体" w:hAnsi="宋体" w:cs="宋体"/>
          <w:sz w:val="24"/>
          <w:szCs w:val="24"/>
        </w:rPr>
        <w:t xml:space="preserve">收件</w:t>
      </w:r>
      <w:r>
        <w:rPr>
          <w:rFonts w:hint="eastAsia" w:ascii="宋体" w:hAnsi="宋体" w:cs="宋体"/>
          <w:sz w:val="24"/>
          <w:szCs w:val="24"/>
          <w:lang w:val="zh-CN"/>
        </w:rPr>
        <w:t xml:space="preserve">地址：</w:t>
      </w:r>
      <w:r>
        <w:rPr>
          <w:rFonts w:hint="eastAsia" w:ascii="宋体" w:hAnsi="宋体"/>
          <w:sz w:val="24"/>
          <w:lang w:val="zh-CN"/>
        </w:rPr>
        <w:t xml:space="preserve">南京市江宁区杨家圩路2号市民中心A区3楼公共资源交易中心A314</w:t>
      </w:r>
      <w:r>
        <w:rPr>
          <w:rFonts w:hint="eastAsia" w:ascii="宋体" w:hAnsi="宋体" w:cs="宋体"/>
          <w:sz w:val="24"/>
          <w:szCs w:val="24"/>
          <w:lang w:val="zh-CN"/>
        </w:rPr>
        <w:t xml:space="preserve">，联系电话：</w:t>
      </w:r>
      <w:r>
        <w:rPr>
          <w:rFonts w:hint="eastAsia" w:ascii="宋体" w:hAnsi="宋体"/>
          <w:sz w:val="24"/>
          <w:lang w:val="zh-CN"/>
        </w:rPr>
        <w:t xml:space="preserve">025-69634313</w:t>
      </w:r>
      <w:r>
        <w:rPr>
          <w:rFonts w:hint="eastAsia" w:ascii="宋体" w:hAnsi="宋体" w:cs="宋体"/>
          <w:sz w:val="24"/>
          <w:szCs w:val="24"/>
          <w:lang w:val="zh-CN"/>
        </w:rPr>
        <w:t xml:space="preserve">。</w:t>
      </w:r>
      <w:r>
        <w:rPr>
          <w:rFonts w:hint="eastAsia" w:ascii="宋体" w:hAnsi="宋体" w:cs="宋体"/>
          <w:b/>
          <w:bCs/>
          <w:sz w:val="24"/>
          <w:szCs w:val="24"/>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656"/>
        <w:ind w:firstLine="480"/>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名  称：南京市江宁区城市管理局         </w:t>
      </w: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南京市江宁区天印大道669号</w:t>
      </w:r>
      <w:r>
        <w:rPr>
          <w:rFonts w:hint="eastAsia" w:ascii="宋体" w:hAnsi="宋体"/>
          <w:sz w:val="24"/>
          <w:szCs w:val="24"/>
        </w:rPr>
        <w:t xml:space="preserve">    </w:t>
      </w: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rPr>
        <w:t xml:space="preserve">秦弘</w:t>
      </w:r>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联系电话：</w:t>
      </w:r>
      <w:r>
        <w:rPr>
          <w:rFonts w:hint="eastAsia" w:ascii="宋体" w:hAnsi="宋体"/>
          <w:sz w:val="24"/>
        </w:rPr>
        <w:t xml:space="preserve">025-52190456</w:t>
      </w:r>
      <w:r>
        <w:rPr>
          <w:rFonts w:hint="eastAsia" w:ascii="宋体" w:hAnsi="宋体"/>
          <w:sz w:val="24"/>
          <w:szCs w:val="24"/>
        </w:rPr>
        <w:t xml:space="preserve"> </w:t>
      </w:r>
      <w:bookmarkStart w:id="40" w:name="_Toc28359009"/>
      <w:r/>
      <w:bookmarkStart w:id="41" w:name="_Toc28359086"/>
      <w:r>
        <w:rPr>
          <w:rFonts w:hint="eastAsia"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6"/>
        <w:ind w:firstLine="480"/>
        <w:rPr>
          <w:rFonts w:hint="eastAsia" w:ascii="宋体" w:hAnsi="宋体"/>
          <w:color w:val="0000ff"/>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color w:val="0000ff"/>
          <w:sz w:val="24"/>
          <w:szCs w:val="24"/>
        </w:rPr>
        <w:t xml:space="preserve">  </w:t>
      </w:r>
      <w:r>
        <w:rPr>
          <w:rFonts w:hint="eastAsia" w:ascii="宋体" w:hAnsi="宋体"/>
          <w:color w:val="0000ff"/>
          <w:sz w:val="24"/>
          <w:szCs w:val="24"/>
        </w:rPr>
      </w:r>
      <w:r/>
    </w:p>
    <w:p>
      <w:pPr>
        <w:pStyle w:val="656"/>
        <w:ind w:firstLine="480"/>
        <w:rPr>
          <w:rFonts w:hint="eastAsia" w:ascii="宋体" w:hAnsi="宋体"/>
          <w:sz w:val="24"/>
          <w:szCs w:val="24"/>
        </w:rPr>
      </w:pPr>
      <w:r>
        <w:rPr>
          <w:rFonts w:hint="eastAsia" w:ascii="宋体" w:hAnsi="宋体"/>
          <w:sz w:val="24"/>
          <w:szCs w:val="24"/>
        </w:rPr>
        <w:t xml:space="preserve">联系人：黄后乐</w:t>
      </w:r>
      <w:r>
        <w:rPr>
          <w:rFonts w:hint="eastAsia" w:ascii="宋体" w:hAnsi="宋体"/>
          <w:sz w:val="24"/>
          <w:szCs w:val="24"/>
        </w:rPr>
      </w:r>
      <w:r/>
    </w:p>
    <w:p>
      <w:pPr>
        <w:pStyle w:val="656"/>
        <w:ind w:firstLine="480"/>
      </w:pPr>
      <w:r>
        <w:rPr>
          <w:rFonts w:hint="eastAsia" w:ascii="宋体" w:hAnsi="宋体"/>
          <w:sz w:val="24"/>
          <w:szCs w:val="24"/>
        </w:rPr>
        <w:t xml:space="preserve">联系电话：025-69613983</w:t>
      </w:r>
      <w:r/>
    </w:p>
    <w:p>
      <w:pPr>
        <w:pStyle w:val="735"/>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2" w:name="_Toc20823346"/>
      <w:r/>
      <w:bookmarkStart w:id="43" w:name="_Hlt16619350"/>
      <w:r/>
      <w:bookmarkStart w:id="44" w:name="_Toc462564139"/>
      <w:r/>
      <w:bookmarkStart w:id="45" w:name="_Toc479757211"/>
      <w:r/>
      <w:bookmarkStart w:id="46" w:name="_Toc120614244"/>
      <w:r/>
      <w:bookmarkStart w:id="47" w:name="_Toc16938590"/>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120614213"/>
      <w:r/>
      <w:bookmarkStart w:id="50" w:name="_Toc513029202"/>
      <w:r/>
      <w:bookmarkStart w:id="51" w:name="_Toc20823274"/>
      <w:r/>
      <w:bookmarkStart w:id="52"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bookmarkStart w:id="53" w:name="_Toc20823275"/>
      <w:r/>
      <w:bookmarkStart w:id="54" w:name="_Toc513029203"/>
      <w:r/>
      <w:bookmarkStart w:id="55" w:name="_Toc120614214"/>
      <w:r/>
      <w:bookmarkStart w:id="56" w:name="_Toc479757207"/>
      <w:r/>
      <w:bookmarkStart w:id="57" w:name="_Toc20823314"/>
      <w:r/>
      <w:bookmarkStart w:id="58" w:name="_Toc16938558"/>
      <w:r/>
      <w:bookmarkStart w:id="59" w:name="_Toc513029242"/>
      <w:r/>
      <w:bookmarkStart w:id="60" w:name="_Toc120614221"/>
      <w:r/>
      <w:bookmarkStart w:id="61" w:name="_Toc16938519"/>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61"/>
      <w:r>
        <w:rPr>
          <w:rFonts w:hint="eastAsia" w:ascii="方正黑体_GBK" w:hAnsi="方正黑体_GBK" w:eastAsia="方正黑体_GBK" w:cs="方正黑体_GBK"/>
          <w:b w:val="0"/>
          <w:bCs w:val="0"/>
          <w:sz w:val="30"/>
          <w:szCs w:val="30"/>
        </w:rPr>
      </w:r>
      <w:r/>
    </w:p>
    <w:p>
      <w:pPr>
        <w:pStyle w:val="661"/>
        <w:ind w:firstLine="420"/>
        <w:rPr>
          <w:rFonts w:hint="eastAsia" w:ascii="方正楷体_GBK" w:hAnsi="方正楷体_GBK" w:eastAsia="方正楷体_GBK" w:cs="方正楷体_GBK"/>
          <w:b/>
          <w:bCs/>
        </w:rPr>
      </w:pPr>
      <w:r/>
      <w:bookmarkStart w:id="62" w:name="_Toc513029204"/>
      <w:r/>
      <w:bookmarkStart w:id="63" w:name="_Toc16938520"/>
      <w:r/>
      <w:bookmarkStart w:id="64" w:name="_Toc20823276"/>
      <w:r/>
      <w:bookmarkStart w:id="65" w:name="_Toc458694821"/>
      <w:r/>
      <w:bookmarkStart w:id="66" w:name="_Hlt16619475"/>
      <w:r/>
      <w:bookmarkEnd w:id="66"/>
      <w:r>
        <w:rPr>
          <w:rFonts w:hint="eastAsia" w:ascii="方正楷体_GBK" w:hAnsi="方正楷体_GBK" w:eastAsia="方正楷体_GBK" w:cs="方正楷体_GBK"/>
          <w:b/>
          <w:bCs/>
        </w:rPr>
        <w:t xml:space="preserve">1</w:t>
      </w:r>
      <w:bookmarkEnd w:id="65"/>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62"/>
      <w:r/>
      <w:bookmarkEnd w:id="63"/>
      <w:r/>
      <w:bookmarkEnd w:id="64"/>
      <w:r>
        <w:rPr>
          <w:rFonts w:hint="eastAsia" w:ascii="方正楷体_GBK" w:hAnsi="方正楷体_GBK" w:eastAsia="方正楷体_GBK" w:cs="方正楷体_GBK"/>
          <w:b/>
          <w:bCs/>
        </w:rPr>
      </w:r>
      <w:r/>
    </w:p>
    <w:p>
      <w:pPr>
        <w:pStyle w:val="656"/>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61"/>
        <w:ind w:firstLine="420"/>
        <w:rPr>
          <w:rFonts w:hint="eastAsia" w:ascii="方正楷体_GBK" w:hAnsi="方正楷体_GBK" w:eastAsia="方正楷体_GBK" w:cs="方正楷体_GBK"/>
          <w:b/>
          <w:bCs/>
        </w:rPr>
      </w:pPr>
      <w:r/>
      <w:bookmarkStart w:id="67" w:name="_Toc20823277"/>
      <w:r/>
      <w:bookmarkStart w:id="68" w:name="_Toc513029205"/>
      <w:r/>
      <w:bookmarkStart w:id="69"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7"/>
      <w:r/>
      <w:bookmarkEnd w:id="68"/>
      <w:r/>
      <w:bookmarkEnd w:id="69"/>
      <w:r>
        <w:rPr>
          <w:rFonts w:hint="eastAsia" w:ascii="方正楷体_GBK" w:hAnsi="方正楷体_GBK" w:eastAsia="方正楷体_GBK" w:cs="方正楷体_GBK"/>
          <w:b/>
          <w:bCs/>
        </w:rPr>
      </w:r>
      <w:r/>
    </w:p>
    <w:p>
      <w:pPr>
        <w:pStyle w:val="656"/>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61"/>
        <w:ind w:firstLine="420"/>
        <w:rPr>
          <w:rFonts w:hint="eastAsia" w:ascii="方正楷体_GBK" w:hAnsi="方正楷体_GBK" w:eastAsia="方正楷体_GBK" w:cs="方正楷体_GBK"/>
          <w:b/>
          <w:bCs/>
        </w:rPr>
      </w:pPr>
      <w:r/>
      <w:bookmarkStart w:id="70" w:name="_Toc20823278"/>
      <w:r/>
      <w:bookmarkStart w:id="71" w:name="_Toc513029206"/>
      <w:r/>
      <w:bookmarkStart w:id="72"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70"/>
      <w:r/>
      <w:bookmarkEnd w:id="71"/>
      <w:r/>
      <w:bookmarkEnd w:id="72"/>
      <w:r>
        <w:rPr>
          <w:rFonts w:hint="eastAsia" w:ascii="方正楷体_GBK" w:hAnsi="方正楷体_GBK" w:eastAsia="方正楷体_GBK" w:cs="方正楷体_GBK"/>
          <w:b/>
          <w:bCs/>
        </w:rPr>
      </w:r>
      <w:r/>
    </w:p>
    <w:p>
      <w:pPr>
        <w:pStyle w:val="656"/>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61"/>
        <w:ind w:firstLine="420"/>
        <w:rPr>
          <w:rFonts w:hint="eastAsia" w:ascii="方正楷体_GBK" w:hAnsi="方正楷体_GBK" w:eastAsia="方正楷体_GBK" w:cs="方正楷体_GBK"/>
          <w:b/>
          <w:bCs/>
        </w:rPr>
      </w:pPr>
      <w:r/>
      <w:bookmarkStart w:id="73" w:name="_Toc513029207"/>
      <w:r/>
      <w:bookmarkStart w:id="74" w:name="_Toc462564067"/>
      <w:r/>
      <w:bookmarkStart w:id="75" w:name="_Toc16938523"/>
      <w:r/>
      <w:bookmarkStart w:id="76"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73"/>
      <w:r/>
      <w:bookmarkEnd w:id="74"/>
      <w:r/>
      <w:bookmarkEnd w:id="75"/>
      <w:r/>
      <w:bookmarkEnd w:id="76"/>
      <w:r>
        <w:rPr>
          <w:rFonts w:hint="eastAsia" w:ascii="方正楷体_GBK" w:hAnsi="方正楷体_GBK" w:eastAsia="方正楷体_GBK" w:cs="方正楷体_GBK"/>
          <w:b/>
          <w:bCs/>
        </w:rPr>
      </w:r>
      <w:r/>
    </w:p>
    <w:p>
      <w:pPr>
        <w:pStyle w:val="656"/>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61"/>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656"/>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bookmarkStart w:id="77" w:name="_Toc20823281"/>
      <w:r/>
      <w:bookmarkStart w:id="78" w:name="_Toc513029209"/>
      <w:r/>
      <w:bookmarkStart w:id="79" w:name="_Toc120614215"/>
      <w:r/>
      <w:bookmarkStart w:id="80" w:name="_Toc16938525"/>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661"/>
        <w:ind w:firstLine="420"/>
        <w:rPr>
          <w:rFonts w:hint="eastAsia" w:ascii="方正楷体_GBK" w:hAnsi="方正楷体_GBK" w:eastAsia="方正楷体_GBK" w:cs="方正楷体_GBK"/>
          <w:b/>
          <w:bCs/>
        </w:rPr>
      </w:pPr>
      <w:r/>
      <w:bookmarkStart w:id="81" w:name="_Toc16938526"/>
      <w:r/>
      <w:bookmarkStart w:id="82" w:name="_Toc513029210"/>
      <w:r/>
      <w:bookmarkStart w:id="83"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81"/>
      <w:r/>
      <w:bookmarkEnd w:id="82"/>
      <w:r/>
      <w:bookmarkEnd w:id="83"/>
      <w:r>
        <w:rPr>
          <w:rFonts w:hint="eastAsia" w:ascii="方正楷体_GBK" w:hAnsi="方正楷体_GBK" w:eastAsia="方正楷体_GBK" w:cs="方正楷体_GBK"/>
          <w:b/>
          <w:bCs/>
        </w:rPr>
      </w:r>
      <w:r/>
    </w:p>
    <w:p>
      <w:pPr>
        <w:pStyle w:val="656"/>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1"/>
        <w:ind w:firstLine="420"/>
        <w:rPr>
          <w:rFonts w:hint="eastAsia" w:ascii="方正楷体_GBK" w:hAnsi="方正楷体_GBK" w:eastAsia="方正楷体_GBK" w:cs="方正楷体_GBK"/>
          <w:b/>
          <w:bCs/>
        </w:rPr>
      </w:pPr>
      <w:r/>
      <w:bookmarkStart w:id="84" w:name="_Toc462564070"/>
      <w:r/>
      <w:bookmarkStart w:id="85" w:name="_Toc513029211"/>
      <w:r/>
      <w:bookmarkStart w:id="86" w:name="_Toc16938527"/>
      <w:r/>
      <w:bookmarkStart w:id="87"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84"/>
      <w:r/>
      <w:bookmarkEnd w:id="85"/>
      <w:r/>
      <w:bookmarkEnd w:id="86"/>
      <w:r/>
      <w:bookmarkEnd w:id="87"/>
      <w:r>
        <w:rPr>
          <w:rFonts w:hint="eastAsia" w:ascii="方正楷体_GBK" w:hAnsi="方正楷体_GBK" w:eastAsia="方正楷体_GBK" w:cs="方正楷体_GBK"/>
          <w:b/>
          <w:bCs/>
        </w:rPr>
      </w:r>
      <w:r/>
    </w:p>
    <w:p>
      <w:pPr>
        <w:pStyle w:val="656"/>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61"/>
        <w:ind w:firstLine="420"/>
        <w:rPr>
          <w:rFonts w:hint="eastAsia" w:ascii="方正楷体_GBK" w:hAnsi="方正楷体_GBK" w:eastAsia="方正楷体_GBK" w:cs="方正楷体_GBK"/>
          <w:b/>
          <w:bCs/>
        </w:rPr>
      </w:pPr>
      <w:r/>
      <w:bookmarkStart w:id="88" w:name="_Toc513029212"/>
      <w:r/>
      <w:bookmarkStart w:id="89" w:name="_Toc20823284"/>
      <w:r/>
      <w:bookmarkStart w:id="90" w:name="_Toc16938528"/>
      <w:r/>
      <w:bookmarkStart w:id="91"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8"/>
      <w:r/>
      <w:bookmarkEnd w:id="89"/>
      <w:r/>
      <w:bookmarkEnd w:id="90"/>
      <w:r/>
      <w:bookmarkEnd w:id="91"/>
      <w:r>
        <w:rPr>
          <w:rFonts w:hint="eastAsia" w:ascii="方正楷体_GBK" w:hAnsi="方正楷体_GBK" w:eastAsia="方正楷体_GBK" w:cs="方正楷体_GBK"/>
          <w:b/>
          <w:bCs/>
        </w:rPr>
      </w:r>
      <w:r/>
    </w:p>
    <w:p>
      <w:pPr>
        <w:pStyle w:val="656"/>
        <w:ind w:firstLine="420"/>
        <w:rPr>
          <w:rFonts w:hint="eastAsia" w:ascii="宋体" w:hAnsi="宋体"/>
          <w:sz w:val="24"/>
        </w:rPr>
      </w:pPr>
      <w:r/>
      <w:bookmarkStart w:id="92" w:name="_Toc513029213"/>
      <w:r/>
      <w:bookmarkStart w:id="93" w:name="_Toc462564072"/>
      <w:r/>
      <w:bookmarkStart w:id="94" w:name="_Toc20823285"/>
      <w:r/>
      <w:bookmarkStart w:id="95" w:name="_Toc16938529"/>
      <w:r/>
      <w:bookmarkStart w:id="96"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661"/>
        <w:ind w:firstLine="420"/>
        <w:rPr>
          <w:rFonts w:hint="eastAsia" w:ascii="方正楷体_GBK" w:hAnsi="方正楷体_GBK" w:eastAsia="方正楷体_GBK" w:cs="方正楷体_GBK"/>
          <w:b/>
          <w:bCs/>
        </w:rPr>
      </w:pPr>
      <w:r/>
      <w:bookmarkStart w:id="97" w:name="_Toc462564073"/>
      <w:r/>
      <w:bookmarkStart w:id="98" w:name="_Toc20823286"/>
      <w:r/>
      <w:bookmarkStart w:id="99" w:name="_Toc16938530"/>
      <w:r/>
      <w:bookmarkStart w:id="100"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rPr>
      </w:r>
      <w:r/>
    </w:p>
    <w:p>
      <w:pPr>
        <w:pStyle w:val="656"/>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56"/>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61"/>
        <w:ind w:firstLine="420"/>
        <w:rPr>
          <w:rFonts w:hint="eastAsia" w:ascii="方正楷体_GBK" w:hAnsi="方正楷体_GBK" w:eastAsia="方正楷体_GBK" w:cs="方正楷体_GBK"/>
          <w:b/>
          <w:bCs/>
        </w:rPr>
      </w:pPr>
      <w:r/>
      <w:bookmarkStart w:id="101" w:name="_Toc16938531"/>
      <w:r/>
      <w:bookmarkStart w:id="102" w:name="_Toc20823287"/>
      <w:r/>
      <w:bookmarkStart w:id="103" w:name="_Toc513029215"/>
      <w:r/>
      <w:bookmarkStart w:id="104"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101"/>
      <w:r/>
      <w:bookmarkEnd w:id="102"/>
      <w:r/>
      <w:bookmarkEnd w:id="103"/>
      <w:r/>
      <w:bookmarkEnd w:id="104"/>
      <w:r>
        <w:rPr>
          <w:rFonts w:hint="eastAsia" w:ascii="方正楷体_GBK" w:hAnsi="方正楷体_GBK" w:eastAsia="方正楷体_GBK" w:cs="方正楷体_GBK"/>
          <w:b/>
          <w:bCs/>
        </w:rPr>
      </w:r>
      <w:r/>
    </w:p>
    <w:p>
      <w:pPr>
        <w:pStyle w:val="656"/>
        <w:ind w:firstLine="420"/>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rPr>
          <w:rFonts w:hint="eastAsia" w:ascii="宋体" w:hAnsi="宋体"/>
          <w:sz w:val="24"/>
          <w:szCs w:val="22"/>
        </w:rPr>
      </w:r>
      <w:r/>
    </w:p>
    <w:p>
      <w:pPr>
        <w:pStyle w:val="656"/>
        <w:ind w:firstLine="420"/>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rPr>
          <w:rFonts w:hint="eastAsia" w:ascii="宋体" w:hAnsi="宋体"/>
          <w:sz w:val="24"/>
          <w:szCs w:val="22"/>
        </w:rPr>
      </w:r>
      <w:r/>
    </w:p>
    <w:p>
      <w:pPr>
        <w:pStyle w:val="661"/>
        <w:ind w:firstLine="420"/>
        <w:rPr>
          <w:rFonts w:hint="eastAsia" w:ascii="方正楷体_GBK" w:hAnsi="方正楷体_GBK" w:eastAsia="方正楷体_GBK" w:cs="方正楷体_GBK"/>
          <w:b/>
          <w:bCs/>
        </w:rPr>
      </w:pPr>
      <w:r/>
      <w:bookmarkStart w:id="105" w:name="_Toc14577354"/>
      <w:r/>
      <w:bookmarkStart w:id="106" w:name="_Toc513029216"/>
      <w:r/>
      <w:bookmarkStart w:id="107" w:name="_Toc513029219"/>
      <w:r/>
      <w:bookmarkStart w:id="108" w:name="_Toc49090507"/>
      <w:r/>
      <w:bookmarkStart w:id="109" w:name="_Toc14577357"/>
      <w:r/>
      <w:bookmarkStart w:id="110" w:name="_Hlt26668975"/>
      <w:r/>
      <w:bookmarkEnd w:id="110"/>
      <w:r/>
      <w:bookmarkStart w:id="111" w:name="_Hlt26670360"/>
      <w:r/>
      <w:bookmarkEnd w:id="111"/>
      <w:r/>
      <w:bookmarkStart w:id="112" w:name="_Hlt26954838"/>
      <w:r/>
      <w:bookmarkEnd w:id="112"/>
      <w:r/>
      <w:bookmarkStart w:id="113" w:name="_Toc49090509"/>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7"/>
      <w:r/>
      <w:bookmarkEnd w:id="109"/>
      <w:r/>
      <w:bookmarkEnd w:id="113"/>
      <w:r>
        <w:rPr>
          <w:rFonts w:hint="eastAsia" w:ascii="方正楷体_GBK" w:hAnsi="方正楷体_GBK" w:eastAsia="方正楷体_GBK" w:cs="方正楷体_GBK"/>
          <w:b/>
          <w:bCs/>
        </w:rPr>
      </w:r>
      <w:r/>
    </w:p>
    <w:p>
      <w:pPr>
        <w:pStyle w:val="656"/>
        <w:ind w:firstLine="420"/>
        <w:rPr>
          <w:rFonts w:hint="eastAsia" w:ascii="宋体" w:hAnsi="宋体"/>
          <w:sz w:val="24"/>
        </w:rPr>
      </w:pPr>
      <w:r/>
      <w:bookmarkEnd w:id="105"/>
      <w:r/>
      <w:bookmarkEnd w:id="106"/>
      <w:r/>
      <w:bookmarkEnd w:id="108"/>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61"/>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4"/>
      <w:r/>
      <w:bookmarkEnd w:id="115"/>
      <w:r>
        <w:rPr>
          <w:rFonts w:hint="eastAsia" w:ascii="方正楷体_GBK" w:hAnsi="方正楷体_GBK" w:eastAsia="方正楷体_GBK" w:cs="方正楷体_GBK"/>
          <w:b/>
          <w:bCs/>
          <w:lang w:val="en-US" w:eastAsia="zh-CN"/>
        </w:rPr>
        <w:t xml:space="preserve">.投标分项报价表（如有）</w:t>
      </w:r>
      <w:r>
        <w:rPr>
          <w:rFonts w:hint="eastAsia" w:ascii="方正楷体_GBK" w:hAnsi="方正楷体_GBK" w:eastAsia="方正楷体_GBK" w:cs="方正楷体_GBK"/>
          <w:b/>
          <w:bCs/>
        </w:rPr>
      </w:r>
      <w:r/>
    </w:p>
    <w:p>
      <w:pPr>
        <w:pStyle w:val="656"/>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661"/>
        <w:ind w:firstLine="420"/>
        <w:rPr>
          <w:rFonts w:hint="eastAsia" w:ascii="方正楷体_GBK" w:hAnsi="方正楷体_GBK" w:eastAsia="方正楷体_GBK" w:cs="方正楷体_GBK"/>
          <w:b/>
          <w:bCs/>
        </w:rPr>
      </w:pPr>
      <w:r/>
      <w:bookmarkStart w:id="118" w:name="_Hlt26670482"/>
      <w:r/>
      <w:bookmarkEnd w:id="118"/>
      <w:r/>
      <w:bookmarkStart w:id="119" w:name="_Hlt26670425"/>
      <w:r/>
      <w:bookmarkEnd w:id="119"/>
      <w:r/>
      <w:bookmarkStart w:id="120" w:name="_Hlt26668983"/>
      <w:r/>
      <w:bookmarkEnd w:id="120"/>
      <w:r/>
      <w:bookmarkStart w:id="121" w:name="_Hlt26670403"/>
      <w:r/>
      <w:bookmarkEnd w:id="121"/>
      <w:r/>
      <w:bookmarkStart w:id="122" w:name="_Hlt26954846"/>
      <w:r/>
      <w:bookmarkEnd w:id="122"/>
      <w:r/>
      <w:bookmarkStart w:id="123" w:name="_Hlt26954842"/>
      <w:r/>
      <w:bookmarkEnd w:id="123"/>
      <w:r/>
      <w:bookmarkStart w:id="124" w:name="_Hlt26954731"/>
      <w:r/>
      <w:bookmarkEnd w:id="124"/>
      <w:r/>
      <w:bookmarkStart w:id="125" w:name="_Hlt26954844"/>
      <w:r/>
      <w:bookmarkEnd w:id="125"/>
      <w:r/>
      <w:bookmarkStart w:id="126" w:name="_Hlt26670486"/>
      <w:r/>
      <w:bookmarkEnd w:id="126"/>
      <w:r/>
      <w:bookmarkStart w:id="127" w:name="_Hlt26954848"/>
      <w:r/>
      <w:bookmarkEnd w:id="127"/>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bookmarkStart w:id="128" w:name="_Toc49090510"/>
      <w:r/>
      <w:bookmarkStart w:id="129"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bookmarkEnd w:id="128"/>
      <w:r/>
      <w:bookmarkEnd w:id="129"/>
      <w:r/>
      <w:bookmarkStart w:id="130" w:name="_Toc49090511"/>
      <w:r/>
      <w:bookmarkStart w:id="131" w:name="_Hlt26954734"/>
      <w:r/>
      <w:bookmarkEnd w:id="131"/>
      <w:r/>
      <w:bookmarkStart w:id="132" w:name="_Hlt26954850"/>
      <w:r/>
      <w:bookmarkEnd w:id="132"/>
      <w:r/>
      <w:bookmarkStart w:id="133" w:name="_Hlt26670489"/>
      <w:r/>
      <w:bookmarkEnd w:id="133"/>
      <w:r/>
      <w:bookmarkStart w:id="134"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30"/>
      <w:r/>
      <w:bookmarkEnd w:id="134"/>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bookmarkStart w:id="135" w:name="_Toc20823296"/>
      <w:r/>
      <w:bookmarkStart w:id="136" w:name="_Toc16938540"/>
      <w:r/>
      <w:bookmarkStart w:id="137" w:name="_Toc513029224"/>
      <w:r/>
      <w:bookmarkStart w:id="138" w:name="_Toc120614217"/>
      <w:r/>
      <w:bookmarkStart w:id="139" w:name="_Toc513029237"/>
      <w:r/>
      <w:bookmarkStart w:id="140" w:name="_Toc16938553"/>
      <w:r/>
      <w:bookmarkStart w:id="141" w:name="_Toc20823309"/>
      <w:r/>
      <w:bookmarkStart w:id="142" w:name="_Hlt26954852"/>
      <w:r/>
      <w:bookmarkEnd w:id="142"/>
      <w:r/>
      <w:bookmarkStart w:id="143" w:name="_Hlt26954739"/>
      <w:r/>
      <w:bookmarkEnd w:id="143"/>
      <w:r>
        <w:rPr>
          <w:rFonts w:hint="eastAsia" w:ascii="方正黑体_GBK" w:hAnsi="方正黑体_GBK" w:eastAsia="方正黑体_GBK" w:cs="方正黑体_GBK"/>
          <w:b w:val="0"/>
          <w:bCs w:val="0"/>
          <w:sz w:val="30"/>
          <w:szCs w:val="30"/>
        </w:rPr>
        <w:t xml:space="preserve">四、投标文件的递交</w:t>
      </w:r>
      <w:bookmarkEnd w:id="135"/>
      <w:r/>
      <w:bookmarkEnd w:id="136"/>
      <w:r/>
      <w:bookmarkEnd w:id="137"/>
      <w:r/>
      <w:bookmarkEnd w:id="138"/>
      <w:r>
        <w:rPr>
          <w:rFonts w:hint="eastAsia" w:ascii="方正黑体_GBK" w:hAnsi="方正黑体_GBK" w:eastAsia="方正黑体_GBK" w:cs="方正黑体_GBK"/>
          <w:b w:val="0"/>
          <w:bCs w:val="0"/>
          <w:sz w:val="30"/>
          <w:szCs w:val="30"/>
        </w:rPr>
      </w:r>
      <w:r/>
    </w:p>
    <w:p>
      <w:pPr>
        <w:pStyle w:val="661"/>
        <w:ind w:firstLine="420"/>
        <w:rPr>
          <w:rFonts w:hint="eastAsia" w:ascii="方正楷体_GBK" w:hAnsi="方正楷体_GBK" w:eastAsia="方正楷体_GBK" w:cs="方正楷体_GBK"/>
          <w:b/>
          <w:bCs/>
        </w:rPr>
      </w:pPr>
      <w:r/>
      <w:bookmarkStart w:id="144" w:name="_Toc513029225"/>
      <w:r/>
      <w:bookmarkStart w:id="145" w:name="_Toc20823297"/>
      <w:r/>
      <w:bookmarkStart w:id="146" w:name="_Toc16938541"/>
      <w:r/>
      <w:bookmarkStart w:id="147"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rPr>
          <w:rFonts w:hint="eastAsia" w:ascii="宋体" w:hAnsi="宋体"/>
          <w:sz w:val="24"/>
          <w:lang w:val="zh-CN"/>
        </w:rPr>
      </w:r>
      <w:r/>
    </w:p>
    <w:p>
      <w:pPr>
        <w:pStyle w:val="656"/>
        <w:ind w:firstLine="420"/>
        <w:rPr>
          <w:rFonts w:hint="eastAsia" w:ascii="宋体" w:hAnsi="宋体"/>
          <w:sz w:val="24"/>
          <w:lang w:val="zh-CN"/>
        </w:rPr>
      </w:pPr>
      <w:r/>
      <w:bookmarkEnd w:id="148"/>
      <w:r/>
      <w:bookmarkEnd w:id="149"/>
      <w:r/>
      <w:bookmarkEnd w:id="150"/>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bookmarkStart w:id="151" w:name="_Toc16938543"/>
      <w:r/>
      <w:bookmarkStart w:id="152" w:name="_Toc20823299"/>
      <w:r/>
      <w:bookmarkStart w:id="153"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bookmarkStart w:id="154" w:name="_Toc20823300"/>
      <w:r/>
      <w:bookmarkStart w:id="155" w:name="_Toc513029228"/>
      <w:r/>
      <w:bookmarkStart w:id="156"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120614218"/>
      <w:r/>
      <w:bookmarkStart w:id="158" w:name="_Toc513029229"/>
      <w:r/>
      <w:bookmarkStart w:id="159" w:name="_Toc16938545"/>
      <w:r/>
      <w:bookmarkStart w:id="160" w:name="_Toc20823301"/>
      <w:r>
        <w:rPr>
          <w:rFonts w:hint="eastAsia" w:ascii="宋体" w:hAnsi="宋体"/>
          <w:sz w:val="24"/>
          <w:lang w:val="zh-CN"/>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sz w:val="30"/>
          <w:szCs w:val="30"/>
        </w:rPr>
      </w:r>
      <w:r/>
    </w:p>
    <w:p>
      <w:pPr>
        <w:pStyle w:val="661"/>
        <w:ind w:firstLine="420"/>
        <w:rPr>
          <w:rFonts w:hint="eastAsia" w:ascii="方正楷体_GBK" w:hAnsi="方正楷体_GBK" w:eastAsia="方正楷体_GBK" w:cs="方正楷体_GBK"/>
          <w:b/>
          <w:bCs/>
        </w:rPr>
      </w:pPr>
      <w:r/>
      <w:bookmarkStart w:id="161" w:name="_Toc20823302"/>
      <w:r/>
      <w:bookmarkStart w:id="162" w:name="_Toc513029230"/>
      <w:r/>
      <w:bookmarkStart w:id="163"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bookmarkStart w:id="164" w:name="_Toc16938547"/>
      <w:r/>
      <w:bookmarkStart w:id="165" w:name="_Toc20823303"/>
      <w:r/>
      <w:bookmarkStart w:id="166"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bookmarkEnd w:id="164"/>
      <w:r/>
      <w:bookmarkEnd w:id="165"/>
      <w:r/>
      <w:bookmarkEnd w:id="166"/>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bookmarkStart w:id="167" w:name="_Toc20823304"/>
      <w:r/>
      <w:bookmarkStart w:id="168" w:name="_Toc16938548"/>
      <w:r/>
      <w:bookmarkStart w:id="169"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61"/>
        <w:ind w:firstLine="420"/>
        <w:rPr>
          <w:rFonts w:hint="eastAsia" w:ascii="方正楷体_GBK" w:hAnsi="方正楷体_GBK" w:eastAsia="方正楷体_GBK" w:cs="方正楷体_GBK"/>
          <w:b/>
          <w:bCs/>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656"/>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56"/>
        <w:ind w:firstLine="420"/>
        <w:rPr>
          <w:rFonts w:hint="eastAsia" w:ascii="宋体" w:hAnsi="宋体"/>
          <w:sz w:val="24"/>
          <w:lang w:val="zh-CN"/>
        </w:rPr>
      </w:pPr>
      <w:r/>
      <w:bookmarkStart w:id="173" w:name="_Toc513029234"/>
      <w:r/>
      <w:bookmarkStart w:id="174" w:name="_Toc16938550"/>
      <w:r/>
      <w:bookmarkStart w:id="175" w:name="_Toc20823306"/>
      <w:r>
        <w:rPr>
          <w:rFonts w:hint="eastAsia" w:ascii="宋体" w:hAnsi="宋体"/>
          <w:sz w:val="24"/>
          <w:lang w:val="zh-CN"/>
        </w:rPr>
        <w:t xml:space="preserve">24.6 投标人在开、评标全过程中应保持通讯畅通，及时登录苏采云系统查阅、答复相关信息，并安排专人与交易中心及评委会联系。</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24.7 异常低价投标审查</w:t>
      </w:r>
      <w:r>
        <w:rPr>
          <w:rFonts w:hint="eastAsia" w:ascii="宋体" w:hAnsi="宋体"/>
          <w:sz w:val="24"/>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sz w:val="24"/>
          <w:szCs w:val="22"/>
          <w:lang w:val="zh-CN"/>
        </w:rPr>
      </w:r>
      <w:r/>
    </w:p>
    <w:p>
      <w:pPr>
        <w:pStyle w:val="656"/>
        <w:ind w:firstLine="420"/>
        <w:rPr>
          <w:rFonts w:hint="eastAsia"/>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lang w:val="zh-CN"/>
        </w:rPr>
      </w:r>
      <w:r/>
    </w:p>
    <w:p>
      <w:pPr>
        <w:pStyle w:val="661"/>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bookmarkStart w:id="176" w:name="_Toc16938551"/>
      <w:r/>
      <w:bookmarkStart w:id="177" w:name="_Toc20823307"/>
      <w:r/>
      <w:bookmarkStart w:id="178"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5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b/>
          <w:bCs/>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65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56"/>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bookmarkEnd w:id="139"/>
      <w:r/>
      <w:bookmarkEnd w:id="140"/>
      <w:r/>
      <w:bookmarkEnd w:id="141"/>
      <w:r/>
      <w:bookmarkEnd w:id="176"/>
      <w:r/>
      <w:bookmarkEnd w:id="177"/>
      <w:r/>
      <w:bookmarkEnd w:id="178"/>
      <w:r/>
      <w:bookmarkStart w:id="179" w:name="_Toc120614219"/>
      <w:r>
        <w:rPr>
          <w:rFonts w:hint="eastAsia" w:ascii="方正黑体_GBK" w:hAnsi="方正黑体_GBK" w:eastAsia="方正黑体_GBK" w:cs="方正黑体_GBK"/>
          <w:b w:val="0"/>
          <w:bCs w:val="0"/>
          <w:sz w:val="30"/>
          <w:szCs w:val="30"/>
        </w:rPr>
        <w:t xml:space="preserve">六、定标</w:t>
      </w:r>
      <w:bookmarkEnd w:id="179"/>
      <w:r>
        <w:rPr>
          <w:rFonts w:hint="eastAsia" w:ascii="方正黑体_GBK" w:hAnsi="方正黑体_GBK" w:eastAsia="方正黑体_GBK" w:cs="方正黑体_GBK"/>
          <w:b w:val="0"/>
          <w:bCs w:val="0"/>
          <w:sz w:val="30"/>
          <w:szCs w:val="30"/>
        </w:rPr>
      </w:r>
      <w:r/>
    </w:p>
    <w:p>
      <w:pPr>
        <w:pStyle w:val="661"/>
        <w:ind w:firstLine="420"/>
        <w:rPr>
          <w:rFonts w:hint="eastAsia" w:ascii="方正楷体_GBK" w:hAnsi="方正楷体_GBK" w:eastAsia="方正楷体_GBK" w:cs="方正楷体_GBK"/>
          <w:b/>
          <w:bCs/>
        </w:rPr>
      </w:pPr>
      <w:r/>
      <w:bookmarkStart w:id="180" w:name="_Toc16938554"/>
      <w:r/>
      <w:bookmarkStart w:id="181" w:name="_Toc20823310"/>
      <w:r/>
      <w:bookmarkStart w:id="182" w:name="_Toc513029238"/>
      <w:r>
        <w:rPr>
          <w:rFonts w:hint="eastAsia" w:ascii="方正楷体_GBK" w:hAnsi="方正楷体_GBK" w:eastAsia="方正楷体_GBK" w:cs="方正楷体_GBK"/>
          <w:b/>
          <w:bCs/>
        </w:rPr>
        <w:t xml:space="preserve">2</w:t>
      </w:r>
      <w:bookmarkEnd w:id="18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0"/>
      <w:r/>
      <w:bookmarkEnd w:id="181"/>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5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56"/>
        <w:ind w:firstLine="420"/>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60"/>
        <w:ind w:firstLine="465"/>
        <w:spacing w:before="145" w:after="145" w:line="240" w:lineRule="auto"/>
        <w:rPr>
          <w:rFonts w:hint="eastAsia" w:ascii="方正黑体_GBK" w:hAnsi="方正黑体_GBK" w:eastAsia="方正黑体_GBK" w:cs="方正黑体_GBK"/>
          <w:b w:val="0"/>
          <w:bCs w:val="0"/>
          <w:sz w:val="30"/>
          <w:szCs w:val="30"/>
        </w:rPr>
      </w:pPr>
      <w:r/>
      <w:bookmarkStart w:id="184" w:name="_Toc16938552"/>
      <w:r/>
      <w:bookmarkStart w:id="185" w:name="_Toc513029236"/>
      <w:r/>
      <w:bookmarkStart w:id="186" w:name="_Toc20823308"/>
      <w:r/>
      <w:bookmarkStart w:id="187" w:name="_Toc120614220"/>
      <w:r>
        <w:rPr>
          <w:rFonts w:hint="eastAsia" w:ascii="方正黑体_GBK" w:hAnsi="方正黑体_GBK" w:eastAsia="方正黑体_GBK" w:cs="方正黑体_GBK"/>
          <w:b w:val="0"/>
          <w:bCs w:val="0"/>
          <w:sz w:val="30"/>
          <w:szCs w:val="30"/>
        </w:rPr>
        <w:t xml:space="preserve">七、授予合同</w:t>
      </w:r>
      <w:bookmarkEnd w:id="187"/>
      <w:r>
        <w:rPr>
          <w:rFonts w:hint="eastAsia" w:ascii="方正黑体_GBK" w:hAnsi="方正黑体_GBK" w:eastAsia="方正黑体_GBK" w:cs="方正黑体_GBK"/>
          <w:b w:val="0"/>
          <w:bCs w:val="0"/>
          <w:sz w:val="30"/>
          <w:szCs w:val="30"/>
        </w:rPr>
      </w:r>
      <w:r/>
    </w:p>
    <w:p>
      <w:pPr>
        <w:pStyle w:val="661"/>
        <w:ind w:firstLine="420"/>
        <w:rPr>
          <w:rFonts w:hint="eastAsia" w:ascii="方正楷体_GBK" w:hAnsi="方正楷体_GBK" w:eastAsia="方正楷体_GBK" w:cs="方正楷体_GBK"/>
          <w:b/>
          <w:bCs/>
        </w:rPr>
      </w:pPr>
      <w:r/>
      <w:bookmarkEnd w:id="184"/>
      <w:r/>
      <w:bookmarkEnd w:id="185"/>
      <w:r/>
      <w:bookmarkEnd w:id="186"/>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661"/>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656"/>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656"/>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660"/>
        <w:ind w:firstLine="465"/>
        <w:spacing w:before="145" w:after="145" w:line="240" w:lineRule="auto"/>
        <w:rPr>
          <w:rFonts w:hint="eastAsia"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八、质疑</w:t>
      </w:r>
      <w:r>
        <w:rPr>
          <w:rFonts w:hint="eastAsia" w:ascii="方正黑体_GBK" w:hAnsi="方正黑体_GBK" w:eastAsia="方正黑体_GBK" w:cs="方正黑体_GBK"/>
          <w:b w:val="0"/>
          <w:bCs w:val="0"/>
          <w:sz w:val="30"/>
          <w:szCs w:val="30"/>
          <w:lang w:val="en-US"/>
        </w:rPr>
      </w:r>
      <w:r/>
    </w:p>
    <w:p>
      <w:pPr>
        <w:pStyle w:val="656"/>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授权代表负责质疑事宜的，《质疑函》附件中应提交由质疑供应商法定代表人或主要负责人签署的《授权委托书》。</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656"/>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rPr>
          <w:rFonts w:hint="eastAsia" w:ascii="宋体" w:hAnsi="宋体"/>
          <w:b/>
          <w:bCs/>
          <w:sz w:val="24"/>
          <w:lang w:val="zh-CN"/>
        </w:rPr>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60"/>
        <w:ind w:firstLine="465"/>
        <w:spacing w:before="145" w:after="145" w:line="240" w:lineRule="auto"/>
        <w:rPr>
          <w:rFonts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九、政策功能落实</w:t>
      </w:r>
      <w:r>
        <w:rPr>
          <w:rFonts w:ascii="方正黑体_GBK" w:hAnsi="方正黑体_GBK" w:eastAsia="方正黑体_GBK" w:cs="方正黑体_GBK"/>
          <w:b w:val="0"/>
          <w:bCs w:val="0"/>
          <w:sz w:val="30"/>
          <w:szCs w:val="30"/>
          <w:lang w:val="en-US"/>
        </w:rPr>
      </w:r>
      <w:r/>
    </w:p>
    <w:p>
      <w:pPr>
        <w:pStyle w:val="661"/>
        <w:ind w:firstLine="420"/>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eastAsia="zh-CN"/>
        </w:rPr>
        <w:t xml:space="preserve">38.</w:t>
      </w:r>
      <w:r>
        <w:rPr>
          <w:rFonts w:hint="eastAsia" w:ascii="方正楷体_GBK" w:hAnsi="方正楷体_GBK" w:eastAsia="方正楷体_GBK" w:cs="方正楷体_GBK"/>
          <w:color w:val="000000"/>
          <w:lang w:val="zh-CN"/>
        </w:rPr>
        <w:t xml:space="preserve">促进中小企业发展</w:t>
      </w:r>
      <w:r>
        <w:rPr>
          <w:rFonts w:hint="eastAsia" w:ascii="方正楷体_GBK" w:hAnsi="方正楷体_GBK" w:eastAsia="方正楷体_GBK" w:cs="方正楷体_GBK"/>
          <w:lang w:val="zh-CN"/>
        </w:rPr>
      </w:r>
      <w:r/>
    </w:p>
    <w:p>
      <w:pPr>
        <w:pStyle w:val="656"/>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661"/>
        <w:ind w:firstLine="420"/>
        <w:rPr>
          <w:rFonts w:ascii="方正楷体_GBK" w:hAnsi="方正楷体_GBK" w:eastAsia="方正楷体_GBK" w:cs="方正楷体_GBK"/>
          <w:lang w:val="en-US" w:eastAsia="zh-CN"/>
        </w:rPr>
      </w:pPr>
      <w:r>
        <w:rPr>
          <w:rFonts w:hint="eastAsia" w:ascii="方正楷体_GBK" w:hAnsi="方正楷体_GBK" w:eastAsia="方正楷体_GBK" w:cs="方正楷体_GBK"/>
          <w:lang w:val="zh-CN" w:eastAsia="zh-CN"/>
        </w:rPr>
        <w:t xml:space="preserve">3</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val="en-US" w:eastAsia="zh-CN"/>
        </w:rPr>
        <w:t xml:space="preserve">节能环保产品</w:t>
      </w:r>
      <w:r>
        <w:rPr>
          <w:rFonts w:ascii="方正楷体_GBK" w:hAnsi="方正楷体_GBK" w:eastAsia="方正楷体_GBK" w:cs="方正楷体_GBK"/>
          <w:lang w:val="en-US" w:eastAsia="zh-CN"/>
        </w:rPr>
      </w:r>
      <w:r/>
    </w:p>
    <w:p>
      <w:pPr>
        <w:pStyle w:val="656"/>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661"/>
        <w:ind w:firstLine="420"/>
        <w:rPr>
          <w:rFonts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40</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val="en-US" w:eastAsia="zh-CN"/>
        </w:rPr>
        <w:t xml:space="preserve">绿色采购</w:t>
      </w:r>
      <w:r>
        <w:rPr>
          <w:rFonts w:ascii="方正楷体_GBK" w:hAnsi="方正楷体_GBK" w:eastAsia="方正楷体_GBK" w:cs="方正楷体_GBK"/>
          <w:lang w:val="en-US" w:eastAsia="zh-CN"/>
        </w:rPr>
      </w:r>
      <w:r/>
    </w:p>
    <w:p>
      <w:pPr>
        <w:pStyle w:val="656"/>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661"/>
        <w:ind w:firstLine="420"/>
        <w:rPr>
          <w:rFonts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41</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val="en-US" w:eastAsia="zh-CN"/>
        </w:rPr>
        <w:t xml:space="preserve">创新产品采购</w:t>
      </w:r>
      <w:r>
        <w:rPr>
          <w:rFonts w:ascii="方正楷体_GBK" w:hAnsi="方正楷体_GBK" w:eastAsia="方正楷体_GBK" w:cs="方正楷体_GBK"/>
          <w:lang w:val="en-US" w:eastAsia="zh-CN"/>
        </w:rPr>
      </w:r>
      <w:r/>
    </w:p>
    <w:p>
      <w:pPr>
        <w:pStyle w:val="656"/>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661"/>
        <w:ind w:firstLine="420"/>
        <w:rPr>
          <w:rFonts w:ascii="方正楷体_GBK" w:hAnsi="方正楷体_GBK" w:eastAsia="方正楷体_GBK" w:cs="方正楷体_GBK"/>
          <w:b/>
          <w:bCs/>
          <w:lang w:val="en-US" w:eastAsia="zh-CN"/>
        </w:rPr>
      </w:pPr>
      <w:r>
        <w:rPr>
          <w:rFonts w:hint="eastAsia" w:ascii="方正楷体_GBK" w:hAnsi="方正楷体_GBK" w:eastAsia="方正楷体_GBK" w:cs="方正楷体_GBK"/>
          <w:b/>
          <w:bCs/>
          <w:lang w:val="en-US" w:eastAsia="zh-CN"/>
        </w:rPr>
        <w:t xml:space="preserve">42.</w:t>
      </w:r>
      <w:r>
        <w:rPr>
          <w:rFonts w:hint="eastAsia" w:ascii="方正楷体_GBK" w:hAnsi="方正楷体_GBK" w:eastAsia="方正楷体_GBK" w:cs="方正楷体_GBK"/>
          <w:b/>
          <w:bCs/>
          <w:lang w:val="zh-CN" w:eastAsia="zh-CN"/>
        </w:rPr>
        <w:t xml:space="preserve">网络产品、市场准入类产品采购</w:t>
      </w:r>
      <w:r>
        <w:rPr>
          <w:rFonts w:ascii="方正楷体_GBK" w:hAnsi="方正楷体_GBK" w:eastAsia="方正楷体_GBK" w:cs="方正楷体_GBK"/>
          <w:b/>
          <w:bCs/>
          <w:lang w:val="en-US" w:eastAsia="zh-CN"/>
        </w:rPr>
      </w:r>
      <w:r/>
    </w:p>
    <w:p>
      <w:pPr>
        <w:pStyle w:val="656"/>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660"/>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eastAsia="zh-CN"/>
        </w:rPr>
        <w:t xml:space="preserve">43.</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656"/>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656"/>
        <w:ind w:firstLine="420"/>
        <w:rPr>
          <w:rFonts w:hint="eastAsia"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656"/>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656"/>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656"/>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656"/>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656"/>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656"/>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656"/>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656"/>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656"/>
        <w:ind w:firstLine="420"/>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61"/>
        <w:ind w:firstLine="420"/>
        <w:rPr>
          <w:rFonts w:hint="eastAsia" w:ascii="方正楷体_GBK" w:hAnsi="方正楷体_GBK" w:eastAsia="方正楷体_GBK" w:cs="方正楷体_GBK"/>
          <w:b/>
          <w:bCs/>
          <w:lang w:val="zh-CN" w:eastAsia="zh-CN"/>
        </w:rPr>
      </w:pPr>
      <w:r>
        <w:rPr>
          <w:rFonts w:hint="eastAsia" w:ascii="方正楷体_GBK" w:hAnsi="方正楷体_GBK" w:eastAsia="方正楷体_GBK" w:cs="方正楷体_GBK"/>
          <w:b/>
          <w:bCs/>
          <w:lang w:val="zh-CN" w:eastAsia="zh-CN"/>
        </w:rPr>
        <w:t xml:space="preserve">4</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lang w:val="zh-CN" w:eastAsia="zh-CN"/>
        </w:rPr>
        <w:t xml:space="preserve">.数据交易说明</w:t>
      </w:r>
      <w:r>
        <w:rPr>
          <w:rFonts w:hint="eastAsia" w:ascii="方正楷体_GBK" w:hAnsi="方正楷体_GBK" w:eastAsia="方正楷体_GBK" w:cs="方正楷体_GBK"/>
          <w:b/>
          <w:bCs/>
          <w:lang w:val="zh-CN" w:eastAsia="zh-CN"/>
        </w:rPr>
      </w:r>
      <w:r/>
    </w:p>
    <w:p>
      <w:pPr>
        <w:pStyle w:val="656"/>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lang w:val="zh-CN"/>
        </w:rPr>
      </w:r>
      <w:r/>
    </w:p>
    <w:p>
      <w:pPr>
        <w:pStyle w:val="656"/>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lang w:val="zh-CN"/>
        </w:rPr>
      </w:r>
      <w:r/>
    </w:p>
    <w:p>
      <w:pPr>
        <w:pStyle w:val="735"/>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6"/>
      <w:r/>
      <w:bookmarkEnd w:id="57"/>
      <w:r/>
      <w:bookmarkEnd w:id="58"/>
      <w:r/>
      <w:bookmarkEnd w:id="59"/>
      <w:r/>
      <w:bookmarkEnd w:id="60"/>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6"/>
        <w:jc w:val="center"/>
        <w:spacing w:before="145" w:after="145"/>
        <w:rPr>
          <w:rFonts w:hint="eastAsia" w:ascii="宋体" w:hAnsi="宋体"/>
          <w:bCs/>
          <w:color w:val="000000"/>
          <w:sz w:val="24"/>
        </w:rPr>
      </w:pPr>
      <w:r/>
      <w:bookmarkStart w:id="188" w:name="_Toc20823315"/>
      <w:r/>
      <w:bookmarkStart w:id="189" w:name="_Toc16938559"/>
      <w:r/>
      <w:bookmarkStart w:id="190" w:name="_Toc513029243"/>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735"/>
        <w:ind w:left="0"/>
        <w:rPr>
          <w:rFonts w:hint="eastAsia"/>
        </w:rPr>
      </w:pPr>
      <w:r>
        <w:rPr>
          <w:rFonts w:hint="eastAsia"/>
        </w:rPr>
      </w:r>
      <w:r/>
    </w:p>
    <w:p>
      <w:pPr>
        <w:pStyle w:val="656"/>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56"/>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56"/>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6"/>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56"/>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56"/>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56"/>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6"/>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656"/>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96"/>
        <w:rPr>
          <w:rFonts w:hAnsi="宋体" w:cs="Courier New"/>
          <w:color w:val="000000"/>
          <w:sz w:val="24"/>
          <w:szCs w:val="24"/>
        </w:rPr>
      </w:pPr>
      <w:r>
        <w:rPr>
          <w:rFonts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r>
        <w:rPr>
          <w:rFonts w:hint="eastAsia" w:hAnsi="宋体" w:cs="Courier New"/>
          <w:sz w:val="24"/>
          <w:szCs w:val="24"/>
        </w:rPr>
        <w:t xml:space="preserve">。</w:t>
      </w:r>
      <w:r>
        <w:rPr>
          <w:rFonts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56"/>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656"/>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56"/>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96"/>
        <w:rPr>
          <w:rFonts w:hint="eastAsia" w:hAnsi="宋体" w:cs="Courier New"/>
          <w:sz w:val="24"/>
          <w:szCs w:val="24"/>
          <w:lang w:val="en-US" w:eastAsia="zh-CN"/>
        </w:rPr>
        <w:outlineLvl w:val="3"/>
      </w:pPr>
      <w:r>
        <w:rPr>
          <w:rFonts w:hint="eastAsia" w:hAnsi="宋体" w:cs="Courier New"/>
          <w:sz w:val="24"/>
          <w:szCs w:val="24"/>
        </w:rPr>
        <w:t xml:space="preserve">8.1</w:t>
      </w:r>
      <w:r>
        <w:rPr>
          <w:rFonts w:hint="eastAsia" w:hAnsi="宋体" w:cs="Courier New"/>
          <w:sz w:val="24"/>
          <w:szCs w:val="24"/>
          <w:lang w:val="en-US" w:eastAsia="zh-CN"/>
        </w:rPr>
        <w:t xml:space="preserve"> </w:t>
      </w:r>
      <w:r>
        <w:rPr>
          <w:rFonts w:hint="eastAsia" w:hAnsi="宋体" w:cs="Courier New"/>
          <w:sz w:val="24"/>
          <w:szCs w:val="24"/>
        </w:rPr>
        <w:t xml:space="preserve">合同款项的支付方式及</w:t>
      </w:r>
      <w:r>
        <w:rPr>
          <w:rFonts w:hint="eastAsia" w:hAnsi="宋体" w:cs="Courier New"/>
          <w:sz w:val="24"/>
          <w:szCs w:val="24"/>
          <w:lang w:val="en-US" w:eastAsia="zh-CN"/>
        </w:rPr>
        <w:t xml:space="preserve">时间</w:t>
      </w:r>
      <w:r>
        <w:rPr>
          <w:rFonts w:hint="eastAsia" w:hAnsi="宋体" w:cs="Courier New"/>
          <w:sz w:val="24"/>
          <w:szCs w:val="24"/>
          <w:lang w:val="en-US" w:eastAsia="zh-CN"/>
        </w:rPr>
      </w:r>
      <w:r/>
    </w:p>
    <w:p>
      <w:pPr>
        <w:pStyle w:val="656"/>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rPr>
          <w:rFonts w:hint="eastAsia" w:ascii="宋体" w:hAnsi="宋体" w:cs="Courier New"/>
          <w:sz w:val="24"/>
          <w:szCs w:val="24"/>
        </w:rPr>
      </w:r>
      <w:r/>
    </w:p>
    <w:p>
      <w:pPr>
        <w:pStyle w:val="696"/>
        <w:spacing w:line="264" w:lineRule="auto"/>
        <w:rPr>
          <w:rFonts w:hint="eastAsia" w:hAnsi="宋体" w:cs="Courier New"/>
          <w:sz w:val="24"/>
          <w:szCs w:val="24"/>
          <w:lang w:val="en-US" w:eastAsia="zh-CN"/>
        </w:rPr>
      </w:pPr>
      <w:r>
        <w:rPr>
          <w:rFonts w:hint="eastAsia" w:hAnsi="宋体" w:cs="Courier New"/>
          <w:sz w:val="24"/>
          <w:szCs w:val="24"/>
          <w:lang w:val="en-US" w:eastAsia="zh-CN"/>
        </w:rPr>
        <w:t xml:space="preserve">8.1.2 系统开发完成并验收合格后，甲方支付合同总价款的65%。</w:t>
      </w:r>
      <w:r>
        <w:rPr>
          <w:rFonts w:hint="eastAsia" w:hAnsi="宋体" w:cs="Courier New"/>
          <w:sz w:val="24"/>
          <w:szCs w:val="24"/>
          <w:lang w:val="en-US" w:eastAsia="zh-CN"/>
        </w:rPr>
      </w:r>
      <w:r/>
    </w:p>
    <w:p>
      <w:pPr>
        <w:pStyle w:val="696"/>
        <w:spacing w:line="264" w:lineRule="auto"/>
        <w:rPr>
          <w:rFonts w:hAnsi="宋体" w:cs="Courier New"/>
          <w:sz w:val="24"/>
          <w:szCs w:val="24"/>
          <w:lang w:val="en-US" w:eastAsia="zh-CN"/>
        </w:rPr>
      </w:pPr>
      <w:r>
        <w:rPr>
          <w:rFonts w:hint="eastAsia" w:hAnsi="宋体" w:cs="Courier New"/>
          <w:sz w:val="24"/>
          <w:szCs w:val="24"/>
          <w:lang w:val="en-US" w:eastAsia="zh-CN"/>
        </w:rPr>
        <w:t xml:space="preserve">8.1.3 系统3年维保期结束后，甲方支付合同总价款的5%。</w:t>
      </w:r>
      <w:r>
        <w:rPr>
          <w:rFonts w:hAnsi="宋体" w:cs="Courier New"/>
          <w:sz w:val="24"/>
          <w:szCs w:val="24"/>
          <w:lang w:val="en-US" w:eastAsia="zh-CN"/>
        </w:rPr>
      </w:r>
      <w:r/>
    </w:p>
    <w:p>
      <w:pPr>
        <w:pStyle w:val="696"/>
        <w:spacing w:line="264" w:lineRule="auto"/>
        <w:rPr>
          <w:rFonts w:hint="eastAsia"/>
          <w:lang w:val="en-US" w:eastAsia="zh-CN"/>
        </w:rPr>
      </w:pPr>
      <w:r>
        <w:rPr>
          <w:rFonts w:hint="eastAsia" w:hAnsi="宋体" w:cs="Courier New"/>
          <w:sz w:val="24"/>
          <w:szCs w:val="24"/>
          <w:lang w:val="en-US" w:eastAsia="zh-CN"/>
        </w:rPr>
        <w:t xml:space="preserve">8.1.4 满足合同约定支付条件的，甲方收到乙方发票后10个工作日内，将资金支付到合同约定的乙方账户。 </w:t>
      </w:r>
      <w:r>
        <w:rPr>
          <w:rFonts w:hint="eastAsia"/>
          <w:lang w:val="en-US" w:eastAsia="zh-CN"/>
        </w:rPr>
      </w:r>
      <w:r/>
    </w:p>
    <w:p>
      <w:pPr>
        <w:pStyle w:val="696"/>
        <w:rPr>
          <w:rFonts w:hint="eastAsia" w:hAnsi="宋体" w:cs="Courier New"/>
          <w:sz w:val="24"/>
          <w:szCs w:val="24"/>
        </w:rPr>
      </w:pPr>
      <w:r>
        <w:rPr>
          <w:rFonts w:hint="eastAsia" w:hAnsi="宋体" w:cs="Courier New"/>
          <w:sz w:val="24"/>
          <w:szCs w:val="24"/>
          <w:lang w:val="en-US" w:eastAsia="zh-CN"/>
        </w:rPr>
        <w:t xml:space="preserve">8.2 </w:t>
      </w:r>
      <w:r>
        <w:rPr>
          <w:rFonts w:hint="eastAsia" w:hAnsi="宋体" w:cs="Courier New"/>
          <w:sz w:val="24"/>
          <w:szCs w:val="24"/>
        </w:rPr>
        <w:t xml:space="preserve">根据《保障中小企业款项支付条例》</w:t>
      </w:r>
      <w:r>
        <w:rPr>
          <w:rFonts w:hint="eastAsia" w:hAnsi="宋体" w:cs="Courier New"/>
          <w:sz w:val="24"/>
          <w:szCs w:val="24"/>
          <w:lang w:val="en-US" w:eastAsia="zh-CN"/>
        </w:rPr>
        <w:t xml:space="preserve">规定</w:t>
      </w:r>
      <w:r>
        <w:rPr>
          <w:rFonts w:hint="eastAsia" w:hAnsi="宋体" w:cs="Courier New"/>
          <w:sz w:val="24"/>
          <w:szCs w:val="24"/>
        </w:rPr>
        <w:t xml:space="preserve">，</w:t>
      </w:r>
      <w:r>
        <w:rPr>
          <w:rFonts w:hint="eastAsia" w:hAnsi="宋体" w:cs="Courier New"/>
          <w:sz w:val="24"/>
          <w:szCs w:val="24"/>
          <w:lang w:val="en-US"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val="en-US" w:eastAsia="zh-CN"/>
        </w:rPr>
        <w:t xml:space="preserve">乙方</w:t>
      </w:r>
      <w:r>
        <w:rPr>
          <w:rFonts w:hint="eastAsia" w:hAnsi="宋体" w:cs="Courier New"/>
          <w:sz w:val="24"/>
          <w:szCs w:val="24"/>
        </w:rPr>
        <w:t xml:space="preserve">可以向有关部门投诉。</w:t>
      </w:r>
      <w:r>
        <w:rPr>
          <w:rFonts w:hint="eastAsia" w:hAnsi="宋体" w:cs="Courier New"/>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1‰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656"/>
        <w:jc w:val="left"/>
        <w:widowControl/>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1</w:t>
      </w:r>
      <w:r>
        <w:rPr>
          <w:rFonts w:ascii="Lucida Sans Unicode" w:hAnsi="Lucida Sans Unicode" w:cs="Lucida Sans Unicode"/>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rPr>
          <w:rFonts w:hint="eastAsia" w:ascii="宋体" w:hAnsi="宋体" w:cs="Courier New"/>
          <w:color w:val="000000"/>
          <w:sz w:val="24"/>
          <w:szCs w:val="24"/>
        </w:rPr>
      </w:r>
      <w:r/>
    </w:p>
    <w:p>
      <w:pPr>
        <w:pStyle w:val="656"/>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1</w:t>
      </w:r>
      <w:r>
        <w:rPr>
          <w:rFonts w:ascii="Lucida Sans Unicode" w:hAnsi="Lucida Sans Unicode" w:cs="Lucida Sans Unicode"/>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1‰              </w:t>
      </w:r>
      <w:r>
        <w:rPr>
          <w:rFonts w:hint="eastAsia" w:ascii="宋体" w:hAnsi="宋体" w:cs="Courier New"/>
          <w:sz w:val="24"/>
          <w:szCs w:val="24"/>
        </w:rPr>
        <w:t xml:space="preserve">的违约金。</w:t>
      </w:r>
      <w:r>
        <w:rPr>
          <w:rFonts w:hint="eastAsia" w:ascii="宋体" w:hAnsi="宋体" w:cs="Courier New"/>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56"/>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696"/>
        <w:spacing w:before="120" w:after="120"/>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696"/>
        <w:ind w:firstLine="240"/>
        <w:spacing w:before="120" w:after="120"/>
        <w:rPr>
          <w:rFonts w:hint="eastAsia" w:hAnsi="宋体" w:cs="Courier New"/>
          <w:sz w:val="24"/>
          <w:szCs w:val="24"/>
        </w:rPr>
      </w:pPr>
      <w:r/>
      <w:bookmarkEnd w:id="188"/>
      <w:r/>
      <w:bookmarkEnd w:id="189"/>
      <w:r/>
      <w:bookmarkEnd w:id="190"/>
      <w:r>
        <w:rPr>
          <w:rFonts w:hint="eastAsia" w:hAnsi="宋体" w:cs="Courier New"/>
          <w:sz w:val="24"/>
          <w:szCs w:val="24"/>
        </w:rPr>
        <w:t xml:space="preserve">甲方：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乙方：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w:t>
      </w:r>
      <w:r>
        <w:rPr>
          <w:rFonts w:hint="eastAsia" w:hAnsi="宋体" w:cs="Courier New"/>
          <w:sz w:val="24"/>
          <w:szCs w:val="24"/>
        </w:rPr>
      </w:r>
      <w:r/>
    </w:p>
    <w:p>
      <w:pPr>
        <w:pStyle w:val="696"/>
        <w:spacing w:before="120" w:after="120"/>
        <w:rPr>
          <w:rFonts w:hint="eastAsia" w:hAnsi="宋体" w:cs="Courier New"/>
          <w:sz w:val="24"/>
          <w:szCs w:val="24"/>
        </w:rPr>
      </w:pPr>
      <w:r>
        <w:rPr>
          <w:rFonts w:hint="eastAsia" w:hAnsi="宋体" w:cs="Courier New"/>
          <w:sz w:val="24"/>
          <w:szCs w:val="24"/>
        </w:rPr>
        <w:t xml:space="preserve">  地址：                        </w:t>
      </w:r>
      <w:r>
        <w:rPr>
          <w:rFonts w:hint="eastAsia" w:hAnsi="宋体" w:cs="Courier New"/>
          <w:sz w:val="24"/>
          <w:szCs w:val="24"/>
          <w:lang w:val="en-US" w:eastAsia="zh-CN"/>
        </w:rPr>
        <w:t xml:space="preserve">       </w:t>
      </w:r>
      <w:r>
        <w:rPr>
          <w:rFonts w:hint="eastAsia" w:hAnsi="宋体" w:cs="Courier New"/>
          <w:sz w:val="24"/>
          <w:szCs w:val="24"/>
        </w:rPr>
        <w:t xml:space="preserve">地址： </w:t>
      </w:r>
      <w:r>
        <w:rPr>
          <w:rFonts w:hint="eastAsia" w:hAnsi="宋体" w:cs="Courier New"/>
          <w:sz w:val="24"/>
          <w:szCs w:val="24"/>
        </w:rPr>
      </w:r>
      <w:r/>
    </w:p>
    <w:p>
      <w:pPr>
        <w:pStyle w:val="696"/>
        <w:spacing w:before="120" w:after="120"/>
        <w:rPr>
          <w:rFonts w:hint="eastAsia" w:hAnsi="宋体" w:cs="Courier New"/>
          <w:sz w:val="24"/>
          <w:szCs w:val="24"/>
        </w:rPr>
      </w:pPr>
      <w:r>
        <w:rPr>
          <w:rFonts w:hint="eastAsia" w:hAnsi="宋体" w:cs="Courier New"/>
          <w:sz w:val="24"/>
          <w:szCs w:val="24"/>
        </w:rPr>
        <w:t xml:space="preserve">  法定代表人或授权代表：        </w:t>
      </w:r>
      <w:r>
        <w:rPr>
          <w:rFonts w:hint="eastAsia" w:hAnsi="宋体" w:cs="Courier New"/>
          <w:sz w:val="24"/>
          <w:szCs w:val="24"/>
          <w:lang w:val="en-US" w:eastAsia="zh-CN"/>
        </w:rPr>
        <w:t xml:space="preserve">       </w:t>
      </w:r>
      <w:r>
        <w:rPr>
          <w:rFonts w:hint="eastAsia" w:hAnsi="宋体" w:cs="Courier New"/>
          <w:sz w:val="24"/>
          <w:szCs w:val="24"/>
        </w:rPr>
        <w:t xml:space="preserve">法定代表人或授权代表：</w:t>
      </w:r>
      <w:r>
        <w:rPr>
          <w:rFonts w:hint="eastAsia" w:hAnsi="宋体" w:cs="Courier New"/>
          <w:sz w:val="24"/>
          <w:szCs w:val="24"/>
        </w:rPr>
      </w:r>
      <w:r/>
    </w:p>
    <w:p>
      <w:pPr>
        <w:pStyle w:val="696"/>
        <w:ind w:firstLine="240"/>
        <w:spacing w:before="120" w:after="120"/>
        <w:rPr>
          <w:rFonts w:hint="eastAsia" w:hAnsi="宋体" w:cs="Courier New"/>
          <w:sz w:val="24"/>
          <w:szCs w:val="24"/>
        </w:rPr>
      </w:pPr>
      <w:r>
        <w:rPr>
          <w:rFonts w:hint="eastAsia" w:hAnsi="宋体" w:cs="Courier New"/>
          <w:sz w:val="24"/>
          <w:szCs w:val="24"/>
        </w:rPr>
        <w:t xml:space="preserve">联系电话：                    </w:t>
      </w:r>
      <w:r>
        <w:rPr>
          <w:rFonts w:hint="eastAsia" w:hAnsi="宋体" w:cs="Courier New"/>
          <w:sz w:val="24"/>
          <w:szCs w:val="24"/>
          <w:lang w:val="en-US" w:eastAsia="zh-CN"/>
        </w:rPr>
        <w:t xml:space="preserve">       </w:t>
      </w:r>
      <w:r>
        <w:rPr>
          <w:rFonts w:hint="eastAsia" w:hAnsi="宋体" w:cs="Courier New"/>
          <w:sz w:val="24"/>
          <w:szCs w:val="24"/>
        </w:rPr>
        <w:t xml:space="preserve">联系电话：          </w:t>
      </w:r>
      <w:r>
        <w:rPr>
          <w:rFonts w:hint="eastAsia" w:hAnsi="宋体" w:cs="Courier New"/>
          <w:sz w:val="24"/>
          <w:szCs w:val="24"/>
        </w:rPr>
      </w:r>
      <w:r/>
    </w:p>
    <w:p>
      <w:pPr>
        <w:pStyle w:val="696"/>
        <w:spacing w:before="120" w:after="120"/>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696"/>
        <w:ind w:firstLine="5280"/>
        <w:spacing w:before="120" w:after="120"/>
        <w:rPr>
          <w:rFonts w:hint="eastAsia" w:hAnsi="宋体" w:cs="Courier New"/>
          <w:sz w:val="24"/>
          <w:szCs w:val="24"/>
        </w:rPr>
      </w:pPr>
      <w:r>
        <w:rPr>
          <w:rFonts w:hint="eastAsia" w:hAnsi="宋体" w:cs="Courier New"/>
          <w:sz w:val="24"/>
          <w:szCs w:val="24"/>
        </w:rPr>
        <w:t xml:space="preserve">签订日期：</w:t>
      </w:r>
      <w:r>
        <w:rPr>
          <w:rFonts w:hint="eastAsia" w:hAnsi="宋体" w:cs="Courier New"/>
          <w:sz w:val="24"/>
          <w:szCs w:val="24"/>
        </w:rPr>
      </w:r>
      <w:r/>
    </w:p>
    <w:p>
      <w:pPr>
        <w:pStyle w:val="656"/>
        <w:jc w:val="center"/>
        <w:spacing w:before="145" w:after="145"/>
        <w:rPr>
          <w:rFonts w:hint="eastAsia" w:ascii="宋体" w:hAnsi="宋体"/>
          <w:b/>
          <w:sz w:val="30"/>
        </w:rPr>
      </w:pPr>
      <w:r>
        <w:rPr>
          <w:rFonts w:hint="eastAsia" w:ascii="宋体" w:hAnsi="宋体"/>
          <w:b/>
          <w:sz w:val="30"/>
        </w:rPr>
      </w:r>
      <w:r/>
    </w:p>
    <w:p>
      <w:pPr>
        <w:pStyle w:val="656"/>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96"/>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78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3"/>
      <w:r>
        <w:rPr>
          <w:rFonts w:hint="eastAsia" w:ascii="方正小标宋简体" w:hAnsi="方正小标宋简体" w:eastAsia="方正小标宋简体" w:cs="方正小标宋简体"/>
          <w:color w:val="000000"/>
          <w:sz w:val="36"/>
          <w:szCs w:val="36"/>
        </w:rPr>
        <w:t xml:space="preserve">四章  采购需求</w:t>
      </w:r>
      <w:bookmarkEnd w:id="42"/>
      <w:r/>
      <w:bookmarkEnd w:id="46"/>
      <w:r/>
      <w:bookmarkEnd w:id="47"/>
      <w:r>
        <w:rPr>
          <w:rFonts w:hint="eastAsia" w:ascii="方正小标宋简体" w:hAnsi="方正小标宋简体" w:eastAsia="方正小标宋简体" w:cs="方正小标宋简体"/>
          <w:color w:val="000000"/>
          <w:sz w:val="36"/>
          <w:szCs w:val="36"/>
        </w:rPr>
      </w:r>
      <w:r/>
    </w:p>
    <w:p>
      <w:pPr>
        <w:pStyle w:val="656"/>
        <w:ind w:firstLine="480"/>
        <w:spacing w:line="264" w:lineRule="auto"/>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6"/>
        <w:ind w:firstLine="482"/>
        <w:spacing w:line="264" w:lineRule="auto"/>
        <w:rPr>
          <w:rFonts w:hint="eastAsia" w:ascii="宋体" w:hAnsi="宋体"/>
          <w:b/>
          <w:bCs/>
          <w:sz w:val="24"/>
          <w:szCs w:val="24"/>
        </w:rPr>
      </w:pPr>
      <w:r>
        <w:rPr>
          <w:rFonts w:hint="eastAsia" w:ascii="宋体" w:hAnsi="宋体"/>
          <w:b/>
          <w:bCs/>
          <w:sz w:val="24"/>
          <w:szCs w:val="24"/>
        </w:rPr>
        <w:t xml:space="preserve">（一）项目背景</w:t>
      </w:r>
      <w:r>
        <w:rPr>
          <w:rFonts w:hint="eastAsia" w:ascii="宋体" w:hAnsi="宋体"/>
          <w:b/>
          <w:bCs/>
          <w:sz w:val="24"/>
          <w:szCs w:val="24"/>
        </w:rPr>
      </w:r>
      <w:r/>
    </w:p>
    <w:p>
      <w:pPr>
        <w:pStyle w:val="696"/>
        <w:ind w:firstLine="48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本项目基于政企共建原则，综合运用大数据+物联网+人工智能技术，打造全主体、全链条、全场景“一网统管”渣土车联管平台。采用高科技，智能化手段，源到端“全链条”监管渣土，构建城管、公安、住建、交通多部门协同，实现审批办证“一网通办”，渣土监管“一网统管”，非法运输、偷盗乱倒“全场景”可追溯。</w:t>
      </w:r>
      <w:r>
        <w:rPr>
          <w:rFonts w:hint="eastAsia" w:hAnsi="宋体" w:cs="Courier New"/>
          <w:color w:val="000000"/>
          <w:sz w:val="24"/>
          <w:szCs w:val="24"/>
          <w:lang w:val="en-US" w:eastAsia="zh-CN"/>
        </w:rPr>
      </w:r>
      <w:r/>
    </w:p>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1.《中华人民共和国国民经济和社会发展第十四个五年规划和2035年远景目标纲要》</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2.《中共中央国务院关于深入推进城市执法体制改革改进城市管理工作的指导意见》（中发〔2015〕37号）；</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3.《国务院关于印发新一代人工智能发展规划的通知》（国发〔2017〕35号）；</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4.《国家政务信息化项目建设管理办法》（国办发〔2019〕57号）；</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5.《住房城乡建设部关于开展建筑垃圾治理试点工作的通知》；</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6.《住房城乡建设部关于印发推行执法全过程记录制度试点实施方案的通知》（建法〔2017〕74号）；</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7.《国家住房和城乡建设部关于印发&lt;智慧化城市管理模式建设导则（试行）&gt;的通知》（建城〔2019〕119号）；</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8.《住房和城乡建设部关于加快推进新型城市基础设施建设的指导意见》（建改发〔2020〕73号）；</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9.《住房和城乡建设部办公厅关于全面加快建设城市运行管理服务平台的通知》（建办督〔2021〕54号）；</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10.《江苏省固体废物污染环境防治条例》</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11.《江苏省城市市容和环境卫生管理条例》</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12.《南京市渣土运输管理办法》</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13.《中华人民共和国网络安全法》</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14.《中华人民共和国数据安全法》</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15.《中华人民共和国密码法》</w:t>
      </w:r>
      <w:r>
        <w:rPr>
          <w:rFonts w:hint="eastAsia" w:hAnsi="宋体" w:cs="Courier New"/>
          <w:color w:val="000000"/>
          <w:sz w:val="24"/>
          <w:szCs w:val="24"/>
          <w:lang w:val="en-US" w:eastAsia="zh-CN"/>
        </w:rPr>
      </w:r>
      <w:r/>
    </w:p>
    <w:p>
      <w:pPr>
        <w:pStyle w:val="696"/>
        <w:ind w:firstLine="840"/>
        <w:jc w:val="left"/>
        <w:spacing w:before="120" w:after="120"/>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16.《商用密码管理条例》</w:t>
      </w:r>
      <w:r>
        <w:rPr>
          <w:rFonts w:hint="eastAsia" w:hAnsi="宋体" w:cs="Courier New"/>
          <w:color w:val="000000"/>
          <w:sz w:val="24"/>
          <w:szCs w:val="24"/>
          <w:lang w:val="en-US" w:eastAsia="zh-CN"/>
        </w:rPr>
      </w:r>
      <w:r/>
    </w:p>
    <w:p>
      <w:pPr>
        <w:pStyle w:val="656"/>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405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49"/>
        <w:gridCol w:w="1357"/>
        <w:gridCol w:w="755"/>
        <w:gridCol w:w="717"/>
        <w:gridCol w:w="1055"/>
        <w:gridCol w:w="1066"/>
        <w:gridCol w:w="1326"/>
        <w:gridCol w:w="1096"/>
      </w:tblGrid>
      <w:tr>
        <w:trPr>
          <w:trHeight w:val="470"/>
        </w:trPr>
        <w:tc>
          <w:tcPr>
            <w:tcW w:w="347"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856"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t xml:space="preserve">分项名称</w:t>
            </w:r>
            <w:r>
              <w:rPr>
                <w:rFonts w:hint="eastAsia" w:ascii="宋体" w:hAnsi="宋体"/>
                <w:bCs/>
                <w:sz w:val="24"/>
                <w:szCs w:val="24"/>
              </w:rPr>
            </w:r>
            <w:r/>
          </w:p>
        </w:tc>
        <w:tc>
          <w:tcPr>
            <w:tcW w:w="476"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452"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672"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t xml:space="preserve">单价上限</w:t>
            </w:r>
            <w:r>
              <w:rPr>
                <w:rFonts w:hint="eastAsia" w:ascii="宋体" w:hAnsi="宋体"/>
                <w:bCs/>
                <w:sz w:val="24"/>
                <w:szCs w:val="24"/>
              </w:rPr>
            </w:r>
            <w:r/>
          </w:p>
          <w:p>
            <w:pPr>
              <w:pStyle w:val="656"/>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W w:w="836"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t xml:space="preserve">所属行业</w:t>
            </w:r>
            <w:r>
              <w:rPr>
                <w:rFonts w:hint="eastAsia" w:ascii="宋体" w:hAnsi="宋体"/>
                <w:bCs/>
                <w:sz w:val="24"/>
                <w:szCs w:val="24"/>
              </w:rPr>
            </w:r>
            <w:r/>
          </w:p>
        </w:tc>
        <w:tc>
          <w:tcPr>
            <w:tcW w:w="691"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t xml:space="preserve">属性</w:t>
            </w:r>
            <w:r>
              <w:rPr>
                <w:rFonts w:hint="eastAsia" w:ascii="宋体" w:hAnsi="宋体"/>
                <w:bCs/>
                <w:sz w:val="24"/>
                <w:szCs w:val="24"/>
              </w:rPr>
            </w:r>
            <w:r/>
          </w:p>
        </w:tc>
      </w:tr>
      <w:tr>
        <w:trPr>
          <w:trHeight w:val="597"/>
        </w:trPr>
        <w:tc>
          <w:tcPr>
            <w:tcW w:w="34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135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基础数据管理子系统</w:t>
            </w:r>
            <w:r>
              <w:rPr>
                <w:rFonts w:ascii="宋体" w:hAnsi="宋体" w:cs="宋体"/>
                <w:bCs/>
                <w:sz w:val="24"/>
                <w:szCs w:val="24"/>
              </w:rPr>
            </w:r>
            <w:r/>
          </w:p>
        </w:tc>
        <w:tc>
          <w:tcPr>
            <w:tcW w:w="476"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452"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326200</w:t>
            </w:r>
            <w:r>
              <w:rPr>
                <w:rFonts w:hint="eastAsia" w:ascii="宋体" w:hAnsi="宋体" w:cs="宋体"/>
                <w:bCs/>
                <w:sz w:val="24"/>
                <w:szCs w:val="24"/>
              </w:rPr>
            </w:r>
            <w:r/>
          </w:p>
        </w:tc>
        <w:tc>
          <w:tcPr>
            <w:tcW w:w="83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691"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渣土监管驾驶舱</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219600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分析研判子系统</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263500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三证合一线上审批子系统</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263600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工地监管子系统</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213300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车辆在途监管子系统</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294900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土场监管子系统</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232200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8</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智慧渣土移动端升级</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146400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决策支持管理子系统</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131800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10</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统一工单子系统</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87800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11</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视频管理子系统</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121300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r>
        <w:trPr>
          <w:trHeight w:val="597"/>
        </w:trPr>
        <w:tc>
          <w:tcPr>
            <w:tcW w:w="347" w:type="dxa"/>
            <w:vAlign w:val="center"/>
            <w:textDirection w:val="lrTb"/>
            <w:noWrap w:val="false"/>
          </w:tcPr>
          <w:p>
            <w:pPr>
              <w:pStyle w:val="656"/>
              <w:spacing w:line="264" w:lineRule="auto"/>
              <w:rPr>
                <w:rFonts w:ascii="宋体" w:hAnsi="宋体" w:cs="宋体"/>
                <w:bCs/>
                <w:sz w:val="24"/>
                <w:szCs w:val="24"/>
              </w:rPr>
            </w:pPr>
            <w:r>
              <w:rPr>
                <w:rFonts w:hint="eastAsia" w:ascii="宋体" w:hAnsi="宋体" w:cs="宋体"/>
                <w:bCs/>
                <w:sz w:val="24"/>
                <w:szCs w:val="24"/>
              </w:rPr>
              <w:t xml:space="preserve">12</w:t>
            </w:r>
            <w:r>
              <w:rPr>
                <w:rFonts w:ascii="宋体" w:hAnsi="宋体" w:cs="宋体"/>
                <w:bCs/>
                <w:sz w:val="24"/>
                <w:szCs w:val="24"/>
              </w:rPr>
            </w:r>
            <w:r/>
          </w:p>
        </w:tc>
        <w:tc>
          <w:tcPr>
            <w:tcW w:w="135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数据对接服务</w:t>
            </w:r>
            <w:r>
              <w:rPr>
                <w:rFonts w:hint="eastAsia" w:ascii="宋体" w:hAnsi="宋体" w:cs="宋体"/>
                <w:bCs/>
                <w:sz w:val="24"/>
                <w:szCs w:val="24"/>
              </w:rPr>
            </w:r>
            <w:r/>
          </w:p>
        </w:tc>
        <w:tc>
          <w:tcPr>
            <w:tcW w:w="755"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717"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套</w:t>
            </w:r>
            <w:r>
              <w:rPr>
                <w:rFonts w:hint="eastAsia" w:ascii="宋体" w:hAnsi="宋体" w:cs="宋体"/>
                <w:bCs/>
                <w:sz w:val="24"/>
                <w:szCs w:val="24"/>
              </w:rPr>
            </w:r>
            <w:r/>
          </w:p>
        </w:tc>
        <w:tc>
          <w:tcPr>
            <w:tcW w:w="665" w:type="dxa"/>
            <w:vAlign w:val="center"/>
            <w:textDirection w:val="lrTb"/>
            <w:noWrap w:val="false"/>
          </w:tcPr>
          <w:p>
            <w:pPr>
              <w:pStyle w:val="656"/>
              <w:spacing w:line="264" w:lineRule="auto"/>
              <w:rPr>
                <w:rFonts w:hint="eastAsia" w:ascii="宋体" w:hAnsi="宋体"/>
                <w:bCs/>
                <w:sz w:val="24"/>
                <w:szCs w:val="24"/>
              </w:rPr>
            </w:pPr>
            <w:r>
              <w:rPr>
                <w:rFonts w:hint="eastAsia" w:ascii="宋体" w:hAnsi="宋体"/>
                <w:bCs/>
                <w:sz w:val="24"/>
                <w:szCs w:val="24"/>
              </w:rPr>
            </w:r>
            <w:r/>
          </w:p>
        </w:tc>
        <w:tc>
          <w:tcPr>
            <w:tcW w:w="1066"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156900</w:t>
            </w:r>
            <w:r>
              <w:rPr>
                <w:rFonts w:hint="eastAsia" w:ascii="宋体" w:hAnsi="宋体" w:cs="宋体"/>
                <w:bCs/>
                <w:sz w:val="24"/>
                <w:szCs w:val="24"/>
              </w:rPr>
            </w:r>
            <w:r/>
          </w:p>
        </w:tc>
        <w:tc>
          <w:tcPr>
            <w:tcW w:w="131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083" w:type="dxa"/>
            <w:vAlign w:val="center"/>
            <w:textDirection w:val="lrTb"/>
            <w:noWrap w:val="false"/>
          </w:tcPr>
          <w:p>
            <w:pPr>
              <w:pStyle w:val="656"/>
              <w:spacing w:line="264"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r>
    </w:tbl>
    <w:p>
      <w:pPr>
        <w:pStyle w:val="656"/>
        <w:ind w:firstLine="480"/>
        <w:spacing w:line="264" w:lineRule="auto"/>
        <w:widowControl/>
        <w:rPr>
          <w:rFonts w:hint="eastAsia" w:ascii="宋体" w:hAnsi="宋体" w:cs="宋体"/>
          <w:bCs/>
          <w:color w:val="0000ff"/>
          <w:sz w:val="24"/>
          <w:szCs w:val="24"/>
          <w:lang w:val="zh-CN"/>
        </w:rPr>
      </w:pPr>
      <w:r>
        <w:rPr>
          <w:rFonts w:hint="eastAsia" w:ascii="宋体" w:hAnsi="宋体" w:cs="宋体"/>
          <w:bCs/>
          <w:color w:val="0000ff"/>
          <w:sz w:val="24"/>
          <w:szCs w:val="24"/>
          <w:lang w:val="zh-CN"/>
        </w:rPr>
      </w:r>
      <w:r/>
    </w:p>
    <w:p>
      <w:pPr>
        <w:pStyle w:val="656"/>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6"/>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tbl>
      <w:tblPr>
        <w:tblW w:w="97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pPr>
            <w:r>
              <w:rPr>
                <w:rFonts w:hint="eastAsia" w:ascii="宋体" w:hAnsi="宋体" w:cs="宋体"/>
                <w:sz w:val="22"/>
              </w:rPr>
              <w:t xml:space="preserve">1. </w:t>
            </w:r>
            <w:bookmarkStart w:id="193" w:name="_Toc632907355"/>
            <w:r>
              <w:rPr>
                <w:rFonts w:hint="eastAsia"/>
              </w:rPr>
              <w:t xml:space="preserve">基础数据管理子系统</w:t>
            </w:r>
            <w:bookmarkEnd w:id="193"/>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ascii="宋体" w:hAnsi="宋体" w:cs="宋体"/>
              </w:rPr>
            </w:pPr>
            <w:r>
              <w:rPr>
                <w:rFonts w:hint="eastAsia" w:ascii="宋体" w:hAnsi="宋体" w:cs="宋体"/>
              </w:rPr>
              <w:t xml:space="preserve">1.</w:t>
            </w:r>
            <w:r>
              <w:rPr>
                <w:rFonts w:hint="eastAsia"/>
              </w:rPr>
              <w:t xml:space="preserve">运输企业信息管理：按照“一企一档”模式，维护管理运输企业基本信息，支持对企业基本信息进行查询、添加、删除、修改、批量导入、批量导出功能，并支持对企业数量进行数量统计。</w:t>
            </w:r>
            <w:r>
              <w:rPr>
                <w:rFonts w:ascii="宋体" w:hAnsi="宋体" w:cs="宋体"/>
              </w:rPr>
            </w:r>
            <w:r/>
          </w:p>
          <w:p>
            <w:pPr>
              <w:pStyle w:val="656"/>
              <w:numPr>
                <w:ilvl w:val="0"/>
                <w:numId w:val="5"/>
              </w:numPr>
              <w:ind w:firstLine="420"/>
              <w:spacing w:line="560" w:lineRule="exact"/>
              <w:shd w:val="clear" w:color="auto" w:fill="ffffff"/>
              <w:widowControl/>
              <w:tabs>
                <w:tab w:val="left" w:pos="312" w:leader="none"/>
              </w:tabs>
              <w:rPr>
                <w:rFonts w:hint="eastAsia"/>
              </w:rPr>
            </w:pPr>
            <w:r>
              <w:rPr>
                <w:rFonts w:hint="eastAsia" w:ascii="宋体" w:hAnsi="宋体" w:cs="宋体"/>
              </w:rPr>
              <w:t xml:space="preserve">运输车辆信</w:t>
            </w:r>
            <w:r>
              <w:rPr>
                <w:rFonts w:hint="eastAsia"/>
              </w:rPr>
              <w:t xml:space="preserve">息管理：按照“一车一档”模式，维护管理渣土车基本信息，通过企业录入挂靠、自有车辆的详细信息，实现对车辆信息的统一维护、查询和日常管理。支持对车辆基本信息进行查询、添加、删除、修改、批量导入、批量导出功能，并支持对渣土车数量进行数量统计。</w:t>
            </w:r>
            <w:r>
              <w:rPr>
                <w:rFonts w:hint="eastAsia"/>
              </w:rPr>
            </w:r>
            <w:r/>
          </w:p>
          <w:p>
            <w:pPr>
              <w:pStyle w:val="656"/>
              <w:numPr>
                <w:ilvl w:val="0"/>
                <w:numId w:val="5"/>
              </w:numPr>
              <w:ind w:firstLine="420"/>
              <w:spacing w:line="560" w:lineRule="exact"/>
              <w:shd w:val="clear" w:color="auto" w:fill="ffffff"/>
              <w:widowControl/>
              <w:tabs>
                <w:tab w:val="left" w:pos="312" w:leader="none"/>
              </w:tabs>
              <w:rPr>
                <w:rFonts w:hint="eastAsia"/>
              </w:rPr>
            </w:pPr>
            <w:r>
              <w:rPr>
                <w:rFonts w:hint="eastAsia"/>
              </w:rPr>
              <w:t xml:space="preserve">驾驶员信息管理：建立渣土运输车辆驾驶员信息数据库，通过企业录入车辆驾驶员信息，便于对驾驶员行为进行有效管控。维护管理驾驶人基本信息，支持对驾驶人基本信息进行查询、添加、删除、修改、批量导入、批量导出功能，并支持对驾驶人数量进行数量统计。</w:t>
            </w:r>
            <w:r>
              <w:rPr>
                <w:rFonts w:hint="eastAsia"/>
              </w:rPr>
            </w:r>
            <w:r/>
          </w:p>
          <w:p>
            <w:pPr>
              <w:pStyle w:val="656"/>
              <w:numPr>
                <w:ilvl w:val="0"/>
                <w:numId w:val="5"/>
              </w:numPr>
              <w:ind w:firstLine="420"/>
              <w:spacing w:line="560" w:lineRule="exact"/>
              <w:shd w:val="clear" w:color="auto" w:fill="ffffff"/>
              <w:widowControl/>
              <w:tabs>
                <w:tab w:val="left" w:pos="312" w:leader="none"/>
              </w:tabs>
              <w:rPr>
                <w:rFonts w:hint="eastAsia"/>
              </w:rPr>
            </w:pPr>
            <w:r>
              <w:rPr>
                <w:rFonts w:hint="eastAsia"/>
              </w:rPr>
              <w:t xml:space="preserve">工地信息管理：按照“一工地、一档案”模式，维护管理工地基本信息，支持对工地基本信息进行查询、添加、删除、修改、批量导入、批量导出功能，并支持对工地数量进行数量统计。</w:t>
            </w:r>
            <w:r>
              <w:rPr>
                <w:rFonts w:hint="eastAsia"/>
              </w:rPr>
            </w:r>
            <w:r/>
          </w:p>
          <w:p>
            <w:pPr>
              <w:pStyle w:val="656"/>
              <w:numPr>
                <w:ilvl w:val="0"/>
                <w:numId w:val="5"/>
              </w:numPr>
              <w:ind w:firstLine="420"/>
              <w:spacing w:line="560" w:lineRule="exact"/>
              <w:shd w:val="clear" w:color="auto" w:fill="ffffff"/>
              <w:widowControl/>
              <w:tabs>
                <w:tab w:val="left" w:pos="312" w:leader="none"/>
              </w:tabs>
              <w:rPr>
                <w:rFonts w:hint="eastAsia"/>
              </w:rPr>
            </w:pPr>
            <w:r>
              <w:rPr>
                <w:rFonts w:hint="eastAsia"/>
              </w:rPr>
              <w:t xml:space="preserve">土场信息管理：按照“一终端、一档案”模式，维护管理土场基本信息，支持对土场基本信息进行查询、添加、删除、修改、批量导入、批量导出功能，并支持对土场数量进行统计。</w:t>
            </w:r>
            <w:r>
              <w:rPr>
                <w:rFonts w:hint="eastAsia"/>
              </w:rPr>
            </w:r>
            <w:r/>
          </w:p>
          <w:p>
            <w:pPr>
              <w:pStyle w:val="656"/>
              <w:numPr>
                <w:ilvl w:val="0"/>
                <w:numId w:val="5"/>
              </w:numPr>
              <w:ind w:firstLine="420"/>
              <w:spacing w:line="560" w:lineRule="exact"/>
              <w:shd w:val="clear" w:color="auto" w:fill="ffffff"/>
              <w:widowControl/>
              <w:tabs>
                <w:tab w:val="left" w:pos="312" w:leader="none"/>
              </w:tabs>
              <w:rPr>
                <w:rFonts w:hint="eastAsia"/>
              </w:rPr>
            </w:pPr>
            <w:r>
              <w:rPr>
                <w:rFonts w:hint="eastAsia"/>
              </w:rPr>
              <w:t xml:space="preserve">静态展示管理：建立基础设施的静态展示管理功能，实现基础设施静态基础信息GIS展示。</w:t>
            </w:r>
            <w:r>
              <w:rPr>
                <w:rFonts w:hint="eastAsia"/>
              </w:rPr>
            </w:r>
            <w:r/>
          </w:p>
          <w:p>
            <w:pPr>
              <w:pStyle w:val="656"/>
              <w:numPr>
                <w:ilvl w:val="0"/>
                <w:numId w:val="5"/>
              </w:numPr>
              <w:ind w:firstLine="420"/>
              <w:spacing w:line="560" w:lineRule="exact"/>
              <w:shd w:val="clear" w:color="auto" w:fill="ffffff"/>
              <w:widowControl/>
              <w:tabs>
                <w:tab w:val="left" w:pos="312" w:leader="none"/>
              </w:tabs>
              <w:rPr>
                <w:rFonts w:hint="eastAsia"/>
              </w:rPr>
            </w:pPr>
            <w:r>
              <w:rPr>
                <w:rFonts w:hint="eastAsia"/>
              </w:rPr>
              <w:t xml:space="preserve">视频监控管理：对接入系统的土场、工地、渣土车载视频、企业监控室等视频监控设备进行查询、管理和维护。建立视频监控目录清单，提供清单化维护管理功能。对视频监控的静态数据进行管理，如设备名称、设备编号、设备用途、生产厂家、安装日期、安装位置、使用期限等。</w:t>
            </w:r>
            <w:r>
              <w:rPr>
                <w:rFonts w:hint="eastAsia"/>
              </w:rPr>
            </w:r>
            <w:r/>
          </w:p>
          <w:p>
            <w:pPr>
              <w:pStyle w:val="656"/>
              <w:numPr>
                <w:ilvl w:val="0"/>
                <w:numId w:val="5"/>
              </w:numPr>
              <w:ind w:firstLine="420"/>
              <w:spacing w:line="560" w:lineRule="exact"/>
              <w:shd w:val="clear" w:color="auto" w:fill="ffffff"/>
              <w:widowControl/>
              <w:tabs>
                <w:tab w:val="left" w:pos="312" w:leader="none"/>
              </w:tabs>
              <w:rPr>
                <w:rFonts w:hint="eastAsia"/>
              </w:rPr>
            </w:pPr>
            <w:r>
              <w:rPr>
                <w:rFonts w:hint="eastAsia"/>
              </w:rPr>
              <w:t xml:space="preserve">三证信息管理：对企业车辆的查验合格证、准运证、通行证的档案信息进行管理，实时获取并更新证件状态，可查询三证办理进度、详情信息。</w:t>
            </w:r>
            <w:r>
              <w:rPr>
                <w:rFonts w:hint="eastAsia"/>
              </w:rPr>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W w:w="97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pPr>
            <w:r>
              <w:rPr>
                <w:rFonts w:hint="eastAsia" w:ascii="宋体" w:hAnsi="宋体" w:cs="宋体"/>
                <w:sz w:val="22"/>
              </w:rPr>
              <w:t xml:space="preserve">2. </w:t>
            </w:r>
            <w:bookmarkStart w:id="194" w:name="_Toc80524693"/>
            <w:r/>
            <w:bookmarkStart w:id="195" w:name="_Toc209105617"/>
            <w:r/>
            <w:bookmarkStart w:id="196" w:name="_Toc1444598051"/>
            <w:r>
              <w:t xml:space="preserve">渣土</w:t>
            </w:r>
            <w:bookmarkEnd w:id="194"/>
            <w:r>
              <w:t xml:space="preserve">监管驾驶舱</w:t>
            </w:r>
            <w:bookmarkEnd w:id="195"/>
            <w:r/>
            <w:bookmarkEnd w:id="196"/>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ascii="宋体" w:hAnsi="宋体" w:cs="宋体"/>
              </w:rPr>
            </w:pPr>
            <w:r>
              <w:rPr>
                <w:rFonts w:hint="eastAsia" w:ascii="宋体" w:hAnsi="宋体" w:cs="宋体"/>
              </w:rPr>
              <w:t xml:space="preserve">1.渣土治理总图：综合渣土车、土场、工地实时运行数据，对多源数据进行融合，基于时空算法的分析和研判能力，对系统全部元素进行监管，实现源头、运输过程、各类预警、告警等信息统一展现。</w:t>
            </w:r>
            <w:r>
              <w:rPr>
                <w:rFonts w:ascii="宋体" w:hAnsi="宋体" w:cs="宋体"/>
              </w:rPr>
            </w:r>
            <w:r/>
          </w:p>
          <w:p>
            <w:pPr>
              <w:pStyle w:val="656"/>
              <w:ind w:firstLine="420"/>
              <w:spacing w:line="560" w:lineRule="exact"/>
              <w:shd w:val="clear" w:color="auto" w:fill="ffffff"/>
              <w:widowControl/>
              <w:rPr>
                <w:rFonts w:ascii="宋体" w:hAnsi="宋体" w:cs="宋体"/>
              </w:rPr>
            </w:pPr>
            <w:r>
              <w:rPr>
                <w:rFonts w:hint="eastAsia" w:ascii="宋体" w:hAnsi="宋体" w:cs="宋体"/>
              </w:rPr>
              <w:t xml:space="preserve">2.土场监管可视化：以GIS+工地土场实时运行监督数据的模式集中展现建筑工地、土场运行监督的情况。有针对性的进行工地及土场的实时监督，监督数据以集中汇聚的方式，结合物联网及视频监控设备的逐渐完善，逐步展示包括工地土场土方量、车辆的进出、车辆的清洗、非法运输车辆告警展示等内容。</w:t>
            </w:r>
            <w:r>
              <w:rPr>
                <w:rFonts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3.运输监管可视化：以GIS+车辆运输运行监督数据的模式集中展现车辆运输过程数据监督的情况，全程监管运输车辆的运输过程，并记录车辆的实时物联网感知设备信息，以及数据实时关联分析，向行业监管部门提供车辆GPS实时位置信息、指定车辆轨迹运行播放、电子围栏超限告警等功能。</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4.联合执法可视化：渣土监管报警信息可通过统一工单系统，将工单任务下发，并流转至对应的部门进行处置，实现事件智能分拨；系统可实现对工单数量、类型、案件处理情况等进行统计展示。</w:t>
            </w:r>
            <w:r>
              <w:rPr>
                <w:rFonts w:hint="eastAsia" w:ascii="宋体" w:hAnsi="宋体" w:cs="宋体"/>
              </w:rPr>
            </w:r>
            <w:r/>
          </w:p>
          <w:p>
            <w:pPr>
              <w:pStyle w:val="656"/>
              <w:ind w:firstLine="420"/>
              <w:spacing w:line="560" w:lineRule="exact"/>
              <w:shd w:val="clear" w:color="auto" w:fill="ffffff"/>
              <w:widowControl/>
              <w:rPr>
                <w:rFonts w:ascii="宋体" w:hAnsi="宋体" w:cs="宋体"/>
                <w:b/>
                <w:bCs/>
              </w:rPr>
            </w:pPr>
            <w:r>
              <w:rPr>
                <w:rFonts w:hint="eastAsia" w:ascii="宋体" w:hAnsi="宋体" w:cs="宋体"/>
              </w:rPr>
              <w:t xml:space="preserve">5.信用信息可视化：以“信用评级为核心、风险预警为导向、修复闭环为支撑”，构建“企业+个人”双维度信用信息可视化监管视图，整合执法工单、违规记录、审批合规性等多源信用数据。</w:t>
            </w: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ascii="宋体" w:hAnsi="宋体" w:cs="宋体"/>
                <w:highlight w:val="yellow"/>
              </w:rPr>
            </w:pPr>
            <w:r>
              <w:rPr>
                <w:rFonts w:ascii="宋体" w:hAnsi="宋体" w:cs="宋体"/>
                <w:highlight w:val="yellow"/>
              </w:rPr>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W w:w="97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pPr>
            <w:r>
              <w:rPr>
                <w:rFonts w:hint="eastAsia" w:ascii="宋体" w:hAnsi="宋体" w:cs="宋体"/>
                <w:sz w:val="22"/>
              </w:rPr>
              <w:t xml:space="preserve">3. </w:t>
            </w:r>
            <w:bookmarkStart w:id="197" w:name="_Toc209105618"/>
            <w:r/>
            <w:bookmarkStart w:id="198" w:name="_Toc2056813822"/>
            <w:r>
              <w:t xml:space="preserve">分析研判子系统</w:t>
            </w:r>
            <w:bookmarkEnd w:id="197"/>
            <w:r/>
            <w:bookmarkEnd w:id="198"/>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ascii="宋体" w:hAnsi="宋体" w:cs="宋体"/>
              </w:rPr>
            </w:pPr>
            <w:r>
              <w:rPr>
                <w:rFonts w:hint="eastAsia" w:ascii="宋体" w:hAnsi="宋体" w:cs="宋体"/>
              </w:rPr>
              <w:t xml:space="preserve">1.</w:t>
            </w:r>
            <w:r>
              <w:rPr>
                <w:rFonts w:hint="eastAsia"/>
              </w:rPr>
              <w:t xml:space="preserve">渣土产生热力图</w:t>
            </w:r>
            <w:r>
              <w:rPr>
                <w:rFonts w:hint="eastAsia" w:ascii="宋体" w:hAnsi="宋体" w:cs="宋体"/>
              </w:rPr>
              <w:t xml:space="preserve">：通过对渣土产生点的产生量、GIS位置等信息进行汇总分析，形成渣土产生热力图，直观从地图判断渣土的大量、高频产生地点，聚焦重点产生区域进行重点管理。</w:t>
            </w:r>
            <w:r>
              <w:rPr>
                <w:rFonts w:ascii="宋体" w:hAnsi="宋体" w:cs="宋体"/>
              </w:rPr>
            </w:r>
            <w:r/>
          </w:p>
          <w:p>
            <w:pPr>
              <w:pStyle w:val="656"/>
              <w:ind w:firstLine="420"/>
              <w:spacing w:line="560" w:lineRule="exact"/>
              <w:shd w:val="clear" w:color="auto" w:fill="ffffff"/>
              <w:widowControl/>
              <w:rPr>
                <w:rFonts w:ascii="宋体" w:hAnsi="宋体" w:cs="宋体"/>
              </w:rPr>
            </w:pPr>
            <w:r>
              <w:rPr>
                <w:rFonts w:hint="eastAsia" w:ascii="宋体" w:hAnsi="宋体" w:cs="宋体"/>
              </w:rPr>
              <w:t xml:space="preserve">2.</w:t>
            </w:r>
            <w:r>
              <w:rPr>
                <w:rFonts w:hint="eastAsia"/>
              </w:rPr>
              <w:t xml:space="preserve">渣土流向分析</w:t>
            </w:r>
            <w:r>
              <w:rPr>
                <w:rFonts w:hint="eastAsia" w:ascii="宋体" w:hAnsi="宋体" w:cs="宋体"/>
              </w:rPr>
              <w:t xml:space="preserve">：基于大数据分析重载渣土车辆运行轨迹起点和终点，结合工地和土场地图位置，与数据库进行对比，查看高频次停车点是否为正规土场或工地，输出可疑黑工地、黑土场名单，推送至执法人员手持端，进行现场巡查查证。</w:t>
            </w:r>
            <w:r>
              <w:rPr>
                <w:rFonts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3.</w:t>
            </w:r>
            <w:r>
              <w:rPr>
                <w:rFonts w:hint="eastAsia"/>
              </w:rPr>
              <w:t xml:space="preserve">道路承载力热力图</w:t>
            </w:r>
            <w:r>
              <w:rPr>
                <w:rFonts w:hint="eastAsia" w:ascii="宋体" w:hAnsi="宋体" w:cs="宋体"/>
              </w:rPr>
              <w:t xml:space="preserve">：根据运输车辆GPS数据实现车辆运行位置的大数据，形成高任务的运输路线热力图，对道路承载力进行直观展示，便于研究核准运输路线的合理性和为新开辟运输路线提供数据支撑依据。</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4.</w:t>
            </w:r>
            <w:r>
              <w:rPr>
                <w:rFonts w:hint="eastAsia"/>
              </w:rPr>
              <w:t xml:space="preserve">疑似“三黑”预警分析</w:t>
            </w:r>
            <w:r>
              <w:rPr>
                <w:rFonts w:hint="eastAsia" w:ascii="宋体" w:hAnsi="宋体" w:cs="宋体"/>
              </w:rPr>
              <w:t xml:space="preserve">：对系统自动判断的渣土运输“三黑”，即黑车、黑工地、黑土场进行预警、分析和热力展示，自动判断重点疑似违法、违规地点，方便执法人员针对性进行稽查。</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5.</w:t>
            </w:r>
            <w:r>
              <w:rPr>
                <w:rFonts w:hint="eastAsia"/>
              </w:rPr>
              <w:t xml:space="preserve">问题高发点热力图</w:t>
            </w:r>
            <w:r>
              <w:rPr>
                <w:rFonts w:hint="eastAsia" w:ascii="宋体" w:hAnsi="宋体" w:cs="宋体"/>
              </w:rPr>
              <w:t xml:space="preserve">：根据违规监管、巡查管理、考核管理等功能发现的渣土问题进行热度分析，查看问题高发地点。针对高发区域统计违规事件，分析车辆违规案件高发的集中区域，为执法提供数据支撑。</w:t>
            </w:r>
            <w:r>
              <w:rPr>
                <w:rFonts w:hint="eastAsia" w:ascii="宋体" w:hAnsi="宋体" w:cs="宋体"/>
              </w:rPr>
            </w:r>
            <w:r/>
          </w:p>
          <w:p>
            <w:pPr>
              <w:pStyle w:val="656"/>
              <w:ind w:firstLine="420"/>
              <w:spacing w:line="560" w:lineRule="exact"/>
              <w:shd w:val="clear" w:color="auto" w:fill="ffffff"/>
              <w:widowControl/>
              <w:rPr>
                <w:rFonts w:ascii="宋体" w:hAnsi="宋体" w:cs="宋体"/>
              </w:rPr>
            </w:pPr>
            <w:r>
              <w:rPr>
                <w:rFonts w:hint="eastAsia" w:ascii="宋体" w:hAnsi="宋体" w:cs="宋体"/>
              </w:rPr>
              <w:t xml:space="preserve">6.</w:t>
            </w:r>
            <w:r>
              <w:rPr>
                <w:rFonts w:hint="eastAsia"/>
              </w:rPr>
              <w:t xml:space="preserve">违规趋势分析</w:t>
            </w:r>
            <w:r>
              <w:rPr>
                <w:rFonts w:hint="eastAsia" w:ascii="宋体" w:hAnsi="宋体" w:cs="宋体"/>
              </w:rPr>
              <w:t xml:space="preserve">：针对渣土车整体情况，同比各月形成违规趋势图。针对各个车企所属车辆违规情况，统计形成同比各月形成车企违规趋势图。对于上升趋势车企进行预警推送；针对渣土车违规事件，同比各月形成违规趋势图。对于上升趋势的重点事件进行预警推送；定义车辆违规等级，针对车辆违规情况进行分级分类，对于严重违规等级车辆自动归纳为重点关注车辆，并进行告警推送。</w:t>
            </w:r>
            <w:r>
              <w:rPr>
                <w:rFonts w:ascii="宋体" w:hAnsi="宋体" w:cs="宋体"/>
              </w:rPr>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W w:w="97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pPr>
            <w:r>
              <w:rPr>
                <w:rFonts w:hint="eastAsia" w:ascii="宋体" w:hAnsi="宋体" w:cs="宋体"/>
                <w:sz w:val="22"/>
              </w:rPr>
              <w:t xml:space="preserve">4. </w:t>
            </w:r>
            <w:bookmarkStart w:id="199" w:name="_Toc209105619"/>
            <w:r/>
            <w:bookmarkStart w:id="200" w:name="_Toc825640595"/>
            <w:r>
              <w:t xml:space="preserve">三证合一线上审批子系统</w:t>
            </w:r>
            <w:bookmarkEnd w:id="199"/>
            <w:r/>
            <w:bookmarkEnd w:id="200"/>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1.查验合格证线上审批：通过数字化重构查验合格证审批链路，实现全流程线上闭环管理，大幅提升审批效率与监管精准度。企业端操作便捷高效，登录平台后进入 “查验合格证办理” 功能模块，在线勾选需办理证件的渣土车辆，系统自动关联车辆基础信息避免重复录入；审批环节实行三级递进审核机制，形成严密监管防线。提交后申请首先流转至辖区民警，民警依托平台调取车辆历史运营数据、违规记录等信息，对车辆资质合规性进行初步核验；审批通过后，平台自动生成带防伪标识的查验合格证，进行快速核验。</w:t>
            </w:r>
            <w:r>
              <w:rPr>
                <w:rFonts w:hint="eastAsia" w:ascii="宋体" w:hAnsi="宋体" w:cs="宋体"/>
              </w:rPr>
            </w:r>
            <w:r/>
          </w:p>
          <w:p>
            <w:pPr>
              <w:pStyle w:val="656"/>
              <w:ind w:firstLine="420"/>
              <w:spacing w:line="560" w:lineRule="exact"/>
              <w:shd w:val="clear" w:color="auto" w:fill="ffffff"/>
              <w:widowControl/>
              <w:rPr>
                <w:rFonts w:ascii="宋体" w:hAnsi="宋体" w:cs="宋体"/>
              </w:rPr>
            </w:pPr>
            <w:r>
              <w:rPr>
                <w:rFonts w:hint="eastAsia" w:ascii="宋体" w:hAnsi="宋体" w:cs="宋体"/>
              </w:rPr>
              <w:t xml:space="preserve">2.</w:t>
            </w:r>
            <w:r>
              <w:rPr>
                <w:rFonts w:hint="eastAsia"/>
              </w:rPr>
              <w:t xml:space="preserve">准运证、通行证线上审批</w:t>
            </w:r>
            <w:r>
              <w:rPr>
                <w:rFonts w:hint="eastAsia" w:ascii="宋体" w:hAnsi="宋体" w:cs="宋体"/>
              </w:rPr>
              <w:t xml:space="preserve">：企业通过平台在线审批-准运证通行证办理功能提交准运证通行证办理-经办人审批-科室负责人审批-局领导审批-办证大厅审批（准运证出）-交警审批（通行证出）。企业提交审批时支持根据打点自动生成线路，交警审批时可修改路线。支持证件终止、更换路线、更换时间段等异常操作。</w:t>
            </w:r>
            <w:r>
              <w:rPr>
                <w:rFonts w:ascii="宋体" w:hAnsi="宋体" w:cs="宋体"/>
              </w:rPr>
            </w:r>
            <w:r/>
          </w:p>
          <w:p>
            <w:pPr>
              <w:pStyle w:val="656"/>
              <w:ind w:firstLine="420"/>
              <w:spacing w:line="560" w:lineRule="exact"/>
              <w:shd w:val="clear" w:color="auto" w:fill="ffffff"/>
              <w:widowControl/>
              <w:rPr>
                <w:rFonts w:ascii="宋体" w:hAnsi="宋体" w:cs="宋体"/>
              </w:rPr>
            </w:pPr>
            <w:r>
              <w:rPr>
                <w:rFonts w:hint="eastAsia" w:ascii="宋体" w:hAnsi="宋体" w:cs="宋体"/>
              </w:rPr>
              <w:t xml:space="preserve">3.</w:t>
            </w:r>
            <w:r>
              <w:rPr>
                <w:rFonts w:hint="eastAsia"/>
              </w:rPr>
              <w:t xml:space="preserve">街道园区意见线上审批</w:t>
            </w:r>
            <w:r>
              <w:rPr>
                <w:rFonts w:hint="eastAsia" w:ascii="宋体" w:hAnsi="宋体" w:cs="宋体"/>
              </w:rPr>
              <w:t xml:space="preserve">：通过优化现有审批流程，将街道园区意见审批融入三证审批流程，做到真正意义上的不见面审批。</w:t>
            </w:r>
            <w:r>
              <w:rPr>
                <w:rFonts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4.</w:t>
            </w:r>
            <w:r>
              <w:rPr>
                <w:rFonts w:hint="eastAsia"/>
              </w:rPr>
              <w:t xml:space="preserve">交警移交案件在线办理</w:t>
            </w:r>
            <w:r>
              <w:rPr>
                <w:rFonts w:hint="eastAsia" w:ascii="宋体" w:hAnsi="宋体" w:cs="宋体"/>
              </w:rPr>
              <w:t xml:space="preserve">：为解决传统交警移交渣土运输违法案件线下流转效率低、进度不透明等问题，本平台依托现有数字化架构，将案件移交流程全面线上化重构，构建“发起-审核-处置-归档”全闭环协同体系，同步预留与城管执法体制改革的适配接口，后期结合城管执法体制改革落实进行逐步调整，做到公开、透明、实时可查。</w:t>
            </w:r>
            <w:r>
              <w:rPr>
                <w:rFonts w:hint="eastAsia" w:ascii="宋体" w:hAnsi="宋体" w:cs="宋体"/>
              </w:rPr>
            </w:r>
            <w:r/>
          </w:p>
          <w:p>
            <w:pPr>
              <w:pStyle w:val="656"/>
              <w:ind w:firstLine="420"/>
              <w:spacing w:line="560" w:lineRule="exact"/>
              <w:shd w:val="clear" w:color="auto" w:fill="ffffff"/>
              <w:widowControl/>
              <w:rPr>
                <w:rFonts w:ascii="宋体" w:hAnsi="宋体" w:cs="宋体"/>
              </w:rPr>
            </w:pPr>
            <w:r>
              <w:rPr>
                <w:rFonts w:hint="eastAsia" w:ascii="宋体" w:hAnsi="宋体" w:cs="宋体"/>
              </w:rPr>
              <w:t xml:space="preserve">5.车辆二维码查证：企业线上办证通过后可自动生成电子证件，电子证件与车辆进行绑定，做到实时更新，同时可通过微信扫描车上二维码实时查看。方便管理方执法及全民监督。</w:t>
            </w:r>
            <w:r>
              <w:rPr>
                <w:rFonts w:ascii="宋体" w:hAnsi="宋体" w:cs="宋体"/>
              </w:rPr>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W w:w="97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pPr>
            <w:r>
              <w:rPr>
                <w:rFonts w:hint="eastAsia" w:ascii="宋体" w:hAnsi="宋体" w:cs="宋体"/>
                <w:sz w:val="22"/>
              </w:rPr>
              <w:t xml:space="preserve">5. </w:t>
            </w:r>
            <w:bookmarkStart w:id="201" w:name="_Toc209105620"/>
            <w:r/>
            <w:bookmarkStart w:id="202" w:name="_Toc1649636898"/>
            <w:r>
              <w:t xml:space="preserve">工地监管子系统</w:t>
            </w:r>
            <w:bookmarkEnd w:id="201"/>
            <w:r/>
            <w:bookmarkEnd w:id="202"/>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hint="eastAsia" w:ascii="宋体" w:hAnsi="宋体" w:cs="宋体"/>
              </w:rPr>
            </w:pPr>
            <w:r>
              <w:rPr>
                <w:rFonts w:hint="eastAsia"/>
              </w:rPr>
              <w:t xml:space="preserve">1.工地源头监管一张图</w:t>
            </w:r>
            <w:r>
              <w:rPr>
                <w:rFonts w:hint="eastAsia" w:ascii="宋体" w:hAnsi="宋体" w:cs="宋体"/>
              </w:rPr>
              <w:t xml:space="preserve">：结合GIS地理信息，以一张图的方式综合展示工地分布、状态、进出场记录，支持调阅“一工地一档案”和工地监控实时视频，展示工地预警告警信息和必要的汇总统计分析数据。</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2.</w:t>
            </w:r>
            <w:r>
              <w:rPr>
                <w:rFonts w:hint="eastAsia"/>
              </w:rPr>
              <w:t xml:space="preserve">工地进出场监管</w:t>
            </w:r>
            <w:r>
              <w:rPr>
                <w:rFonts w:hint="eastAsia" w:ascii="宋体" w:hAnsi="宋体" w:cs="宋体"/>
              </w:rPr>
              <w:t xml:space="preserve">：通过对接在出土工地预计土方收纳场地的出入口车牌识别系统，识别进出车辆，实现对工地进出场车辆记录的实时监管，提供统一的进出场抓拍图像上传。对车辆进出场的情况进行记录，系统支持对进出场数据的批量导入与导出。比对平台车辆三证信息，对黑车、无证运输车辆、未按规定时间运输车辆自动报警并生成报表，留存图片证据，方便查询。</w:t>
            </w:r>
            <w:r>
              <w:rPr>
                <w:rFonts w:hint="eastAsia" w:ascii="宋体" w:hAnsi="宋体" w:cs="宋体"/>
              </w:rPr>
            </w:r>
            <w:r/>
          </w:p>
          <w:p>
            <w:pPr>
              <w:pStyle w:val="656"/>
              <w:ind w:firstLine="420"/>
              <w:spacing w:line="560" w:lineRule="exact"/>
              <w:shd w:val="clear" w:color="auto" w:fill="ffffff"/>
              <w:widowControl/>
              <w:rPr>
                <w:rFonts w:ascii="宋体" w:hAnsi="宋体" w:cs="宋体"/>
              </w:rPr>
            </w:pPr>
            <w:r>
              <w:rPr>
                <w:rFonts w:hint="eastAsia" w:ascii="宋体" w:hAnsi="宋体" w:cs="宋体"/>
              </w:rPr>
              <w:t xml:space="preserve">3.</w:t>
            </w:r>
            <w:r>
              <w:rPr>
                <w:rFonts w:hint="eastAsia"/>
              </w:rPr>
              <w:t xml:space="preserve">车辆合规上路监管</w:t>
            </w:r>
            <w:r>
              <w:rPr>
                <w:rFonts w:hint="eastAsia" w:ascii="宋体" w:hAnsi="宋体" w:cs="宋体"/>
              </w:rPr>
              <w:t xml:space="preserve">：通过对接在出土工地以及土方收纳场地的出入口的冲洗识别相机、绕行监控相机、AI识别相机，配合车牌识别系统，针对车身不洁、带泥上路车辆的预防与预警。</w:t>
            </w:r>
            <w:r>
              <w:rPr>
                <w:rFonts w:ascii="宋体" w:hAnsi="宋体" w:cs="宋体"/>
              </w:rPr>
            </w:r>
            <w:r/>
          </w:p>
          <w:p>
            <w:pPr>
              <w:pStyle w:val="656"/>
              <w:ind w:firstLine="420"/>
              <w:spacing w:line="560" w:lineRule="exact"/>
              <w:shd w:val="clear" w:color="auto" w:fill="ffffff"/>
              <w:widowControl/>
              <w:rPr>
                <w:rFonts w:ascii="宋体" w:hAnsi="宋体" w:cs="宋体"/>
              </w:rPr>
            </w:pPr>
            <w:r>
              <w:rPr>
                <w:rFonts w:hint="eastAsia" w:ascii="宋体" w:hAnsi="宋体" w:cs="宋体"/>
              </w:rPr>
              <w:t xml:space="preserve">4.工地土方量估算：综合工地位置信息，在电子地图生成电子围栏，同时结合渣土车辆GPS数据，自动计算车辆运输趟数，估算工地出土量。通过对接在工地土场的智能摄像机，结合进出口车牌识别信息，统计进出工地渣土车数据，估算出工地的出土量，用于验证企业上报信息的准确性。</w:t>
            </w:r>
            <w:r>
              <w:rPr>
                <w:rFonts w:ascii="宋体" w:hAnsi="宋体" w:cs="宋体"/>
              </w:rPr>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W w:w="97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pPr>
            <w:r>
              <w:rPr>
                <w:rFonts w:hint="eastAsia" w:ascii="宋体" w:hAnsi="宋体" w:cs="宋体"/>
                <w:sz w:val="22"/>
              </w:rPr>
              <w:t xml:space="preserve">6. </w:t>
            </w:r>
            <w:bookmarkStart w:id="203" w:name="_Toc1433461916"/>
            <w:r/>
            <w:bookmarkStart w:id="204" w:name="_Toc209105621"/>
            <w:r>
              <w:t xml:space="preserve">车辆在途监管子系统</w:t>
            </w:r>
            <w:bookmarkEnd w:id="203"/>
            <w:r/>
            <w:bookmarkEnd w:id="204"/>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hint="eastAsia" w:ascii="宋体" w:hAnsi="宋体" w:cs="宋体"/>
              </w:rPr>
            </w:pPr>
            <w:r>
              <w:rPr>
                <w:rFonts w:hint="eastAsia"/>
              </w:rPr>
              <w:t xml:space="preserve">1.</w:t>
            </w:r>
            <w:bookmarkStart w:id="205" w:name="_Toc526926719"/>
            <w:r/>
            <w:bookmarkStart w:id="206" w:name="_Toc487566693"/>
            <w:r/>
            <w:bookmarkStart w:id="207" w:name="_Toc450811542"/>
            <w:r/>
            <w:bookmarkStart w:id="208" w:name="_Toc15034504"/>
            <w:r/>
            <w:bookmarkStart w:id="209" w:name="_Toc488706965"/>
            <w:r/>
            <w:bookmarkStart w:id="210" w:name="_Toc501960075"/>
            <w:r>
              <w:rPr>
                <w:rFonts w:hint="eastAsia"/>
              </w:rPr>
              <w:t xml:space="preserve">车辆实时状态监控</w:t>
            </w:r>
            <w:bookmarkEnd w:id="205"/>
            <w:r/>
            <w:bookmarkEnd w:id="206"/>
            <w:r/>
            <w:bookmarkEnd w:id="207"/>
            <w:r/>
            <w:bookmarkEnd w:id="208"/>
            <w:r/>
            <w:bookmarkEnd w:id="209"/>
            <w:r/>
            <w:bookmarkEnd w:id="210"/>
            <w:r>
              <w:rPr>
                <w:rFonts w:hint="eastAsia" w:ascii="宋体" w:hAnsi="宋体" w:cs="宋体"/>
              </w:rPr>
              <w:t xml:space="preserve">：通过对接在车辆上满足标准协议的设备，实时监测渣土车辆实时位置、运行轨迹，监管车辆是否按照规定的运输路线进行运输。可地图查看车辆实时清运位置，包括地址、速度、状态等。</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2.</w:t>
            </w:r>
            <w:bookmarkStart w:id="211" w:name="_Toc15034505"/>
            <w:r/>
            <w:bookmarkStart w:id="212" w:name="_Toc488706966"/>
            <w:r/>
            <w:bookmarkStart w:id="213" w:name="_Toc487566694"/>
            <w:r/>
            <w:bookmarkStart w:id="214" w:name="_Toc501960076"/>
            <w:r/>
            <w:bookmarkStart w:id="215" w:name="_Toc526926720"/>
            <w:r>
              <w:rPr>
                <w:rFonts w:hint="eastAsia" w:ascii="宋体" w:hAnsi="宋体" w:cs="宋体"/>
              </w:rPr>
              <w:t xml:space="preserve">车辆轨迹监控</w:t>
            </w:r>
            <w:bookmarkEnd w:id="211"/>
            <w:r/>
            <w:bookmarkEnd w:id="212"/>
            <w:r/>
            <w:bookmarkEnd w:id="213"/>
            <w:r/>
            <w:bookmarkEnd w:id="214"/>
            <w:r/>
            <w:bookmarkEnd w:id="215"/>
            <w:r>
              <w:rPr>
                <w:rFonts w:hint="eastAsia" w:ascii="宋体" w:hAnsi="宋体" w:cs="宋体"/>
              </w:rPr>
              <w:t xml:space="preserve">：对车辆运输轨迹进行动态监控，可在线回放车辆作业轨迹；系统可通过图形化方式在地图上回放车辆作业全过程，便于对车辆的监管。系统可以设置回放的时间段、播放速度、播放进度等。</w:t>
            </w:r>
            <w:r>
              <w:rPr>
                <w:rFonts w:hint="eastAsia" w:ascii="宋体" w:hAnsi="宋体" w:cs="宋体"/>
              </w:rPr>
            </w:r>
            <w:r/>
          </w:p>
          <w:p>
            <w:pPr>
              <w:pStyle w:val="656"/>
              <w:ind w:firstLine="420"/>
              <w:spacing w:line="560" w:lineRule="exact"/>
              <w:shd w:val="clear" w:color="auto" w:fill="ffffff"/>
              <w:widowControl/>
              <w:rPr>
                <w:rFonts w:ascii="宋体" w:hAnsi="宋体" w:cs="宋体"/>
              </w:rPr>
            </w:pPr>
            <w:r>
              <w:rPr>
                <w:rFonts w:hint="eastAsia" w:ascii="宋体" w:hAnsi="宋体" w:cs="宋体"/>
              </w:rPr>
              <w:t xml:space="preserve">3.</w:t>
            </w:r>
            <w:r>
              <w:rPr>
                <w:rFonts w:hint="eastAsia"/>
              </w:rPr>
              <w:t xml:space="preserve">通行线路偏移预警</w:t>
            </w:r>
            <w:r>
              <w:rPr>
                <w:rFonts w:hint="eastAsia" w:ascii="宋体" w:hAnsi="宋体" w:cs="宋体"/>
              </w:rPr>
              <w:t xml:space="preserve">：平台根据审批通过后的路线数据，结合车辆GPS定位数据，构建分析算法，对车辆是否按照规定路线行驶监测和分析，一旦车辆偏离规定行驶路线，进行报警，并生成偏离线路报表。通过车辆历史轨迹信息的记录、播放、查看和统计，可进行企业、车辆运行轨迹违规行为的统计排名，并通过向企业推送的方式进行警告。</w:t>
            </w:r>
            <w:r>
              <w:rPr>
                <w:rFonts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4.</w:t>
            </w:r>
            <w:r>
              <w:rPr>
                <w:rFonts w:hint="eastAsia"/>
              </w:rPr>
              <w:t xml:space="preserve">违规作业报警</w:t>
            </w:r>
            <w:r>
              <w:rPr>
                <w:rFonts w:hint="eastAsia" w:ascii="宋体" w:hAnsi="宋体" w:cs="宋体"/>
              </w:rPr>
              <w:t xml:space="preserve">：违规作业报警包括超速、越区等。系统设置阈值，实时采集的数值与阈值进行对比，超过阈值进行报警，系统记录违规信息，相关管理部门进行查看，根据违规记录快速锁定问题车辆进行提醒，违规记录作为工作质量审核的审核依据。</w:t>
            </w:r>
            <w:r>
              <w:rPr>
                <w:rFonts w:hint="eastAsia" w:ascii="宋体" w:hAnsi="宋体" w:cs="宋体"/>
              </w:rPr>
            </w:r>
            <w:r/>
          </w:p>
          <w:p>
            <w:pPr>
              <w:pStyle w:val="656"/>
              <w:ind w:firstLine="420"/>
              <w:spacing w:line="560" w:lineRule="exact"/>
              <w:shd w:val="clear" w:color="auto" w:fill="ffffff"/>
              <w:widowControl/>
              <w:rPr>
                <w:rFonts w:hint="eastAsia"/>
              </w:rPr>
            </w:pPr>
            <w:r>
              <w:rPr>
                <w:rFonts w:hint="eastAsia" w:ascii="宋体" w:hAnsi="宋体" w:cs="宋体"/>
              </w:rPr>
              <w:t xml:space="preserve">5.</w:t>
            </w:r>
            <w:r>
              <w:rPr>
                <w:rFonts w:hint="eastAsia"/>
              </w:rPr>
              <w:t xml:space="preserve">未按规定时间段运输预警：渣土车行驶有具体时间段的限制，通行证上有具体可通行时间段，结合车辆定位数据，如果在非准运时间段内车辆产生轨迹则判定为未按规定时间段运输。系统支持对未按规定时间段运输车辆形成报警，并记录报警详情。</w:t>
            </w:r>
            <w:r>
              <w:rPr>
                <w:rFonts w:hint="eastAsia"/>
              </w:rPr>
            </w:r>
            <w:r/>
          </w:p>
          <w:p>
            <w:pPr>
              <w:pStyle w:val="656"/>
              <w:ind w:firstLine="420"/>
              <w:spacing w:line="560" w:lineRule="exact"/>
              <w:shd w:val="clear" w:color="auto" w:fill="ffffff"/>
              <w:widowControl/>
            </w:pPr>
            <w:r>
              <w:rPr>
                <w:rFonts w:hint="eastAsia"/>
              </w:rPr>
              <w:t xml:space="preserve">6.电子围栏管理：建立多类型电子围栏，包括国控区电子围栏、工地电子围栏、土场电子围栏、路线电子围栏、禁区电子围栏，实现车辆运输过程实时监管，在清运过程中车辆行驶、是否按照规定的路线进行运输、是否非法倾倒、是否超速等进行全方位监管，监测实时位置状态，出现违规行为时系统及时进行提醒记录。</w:t>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W w:w="97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pPr>
            <w:r>
              <w:rPr>
                <w:rFonts w:hint="eastAsia" w:ascii="宋体" w:hAnsi="宋体" w:cs="宋体"/>
                <w:sz w:val="22"/>
              </w:rPr>
              <w:t xml:space="preserve">7. </w:t>
            </w:r>
            <w:bookmarkStart w:id="216" w:name="_Toc1722870166"/>
            <w:r/>
            <w:bookmarkStart w:id="217" w:name="_Toc209105622"/>
            <w:r>
              <w:t xml:space="preserve">土场监管子系统</w:t>
            </w:r>
            <w:bookmarkEnd w:id="216"/>
            <w:r/>
            <w:bookmarkEnd w:id="217"/>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ascii="宋体" w:hAnsi="宋体" w:cs="宋体"/>
                <w:b/>
                <w:bCs/>
              </w:rPr>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hint="eastAsia" w:ascii="宋体" w:hAnsi="宋体" w:cs="宋体"/>
              </w:rPr>
            </w:pPr>
            <w:r>
              <w:rPr>
                <w:rFonts w:hint="eastAsia"/>
              </w:rPr>
              <w:t xml:space="preserve">1.土场监管一张图</w:t>
            </w:r>
            <w:r>
              <w:rPr>
                <w:rFonts w:hint="eastAsia" w:ascii="宋体" w:hAnsi="宋体" w:cs="宋体"/>
              </w:rPr>
              <w:t xml:space="preserve">：结合GIS地理信息，以一张图的方式综合展示土场分布、状态、进出场记录，支持调阅“一终端一档案”和实时视频监控，展示土场预警告警信息和必要的汇总统计分析数据。</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2.</w:t>
            </w:r>
            <w:r>
              <w:rPr>
                <w:rFonts w:hint="eastAsia"/>
              </w:rPr>
              <w:t xml:space="preserve">车辆进出场管理</w:t>
            </w:r>
            <w:r>
              <w:rPr>
                <w:rFonts w:hint="eastAsia" w:ascii="宋体" w:hAnsi="宋体" w:cs="宋体"/>
              </w:rPr>
              <w:t xml:space="preserve">：通过对接出土工地以及土方收纳场地的出入口车牌识别摄像机数据，实现进出土场渣土车车辆信息管理。将工地出厂信息、土场入场记录与运输轨迹汇总为车辆完整的作业记录，记录是否完整可排查车辆是否有中途倾倒的行为，作为违规车辆核定的依据。</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pPr>
            <w:r>
              <w:rPr>
                <w:rFonts w:hint="eastAsia" w:ascii="宋体" w:hAnsi="宋体" w:cs="宋体"/>
              </w:rPr>
              <w:t xml:space="preserve">3.土场土方量估算：综合土场位置信息，在电子地图生成电子围栏，同时结合渣土车辆GPS数据，自动计算车辆运输趟数，估算土场剩余土方量。同时，通过在出土工地以及土方收纳场地的出入口对接智能摄像机画面，结合进出口车牌识别信息，统计进出土场渣土车数据，估算土场剩余土方量。</w:t>
            </w:r>
            <w:r>
              <w:rPr>
                <w:rFonts w:hint="eastAsia" w:ascii="宋体" w:hAnsi="宋体" w:cs="宋体"/>
              </w:rPr>
            </w:r>
            <w:r/>
          </w:p>
          <w:p>
            <w:pPr>
              <w:pStyle w:val="656"/>
              <w:ind w:firstLine="420"/>
              <w:spacing w:line="560" w:lineRule="exact"/>
              <w:shd w:val="clear" w:color="auto" w:fill="ffffff"/>
              <w:widowControl/>
            </w:pPr>
            <w:r>
              <w:rPr>
                <w:rFonts w:hint="eastAsia" w:ascii="宋体" w:hAnsi="宋体" w:cs="宋体"/>
              </w:rPr>
              <w:t xml:space="preserve">4.土场消纳存量管理：根据土场的规划容量、进入土场车辆数据据，统计分析土场的剩余库容，并形成剩余库容趋势预测预警。采取“红绿灯”管理模式，剩余消纳存量低于设定的阈值时，系统显示土场为绿色，可正常消纳渣土；剩余消纳存量接近设定的阈值时，系统显示土场为黄色，工作人员可通知土场停止新增运输企业运输渣土至此消纳；剩余消纳存量达到设定的阈值时，系统显示土场为红色，土场停止消纳渣土。</w:t>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framePr w:vAnchor="text" w:hAnchor="page" w:x="1168" w:y="336"/>
            </w:pPr>
            <w:r>
              <w:rPr>
                <w:rFonts w:hint="eastAsia" w:ascii="宋体" w:hAnsi="宋体" w:cs="宋体"/>
                <w:sz w:val="22"/>
              </w:rPr>
              <w:t xml:space="preserve">8. </w:t>
            </w:r>
            <w:bookmarkStart w:id="218" w:name="_Toc1756867461"/>
            <w:r/>
            <w:bookmarkStart w:id="219" w:name="_Toc209105623"/>
            <w:r>
              <w:t xml:space="preserve">智慧渣土移动端升级</w:t>
            </w:r>
            <w:bookmarkEnd w:id="218"/>
            <w:r/>
            <w:bookmarkEnd w:id="219"/>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framePr w:vAnchor="text" w:hAnchor="page" w:x="1168" w:y="336"/>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rPr>
              <w:t xml:space="preserve">1.基础信息查看</w:t>
            </w:r>
            <w:r>
              <w:rPr>
                <w:rFonts w:hint="eastAsia" w:ascii="宋体" w:hAnsi="宋体" w:cs="宋体"/>
              </w:rPr>
              <w:t xml:space="preserve">：通过智慧渣土移动端开发，实现通过移动端查看包括企业、车辆、驾驶员、定位视频、车辆三证等信息。</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ascii="宋体" w:hAnsi="宋体" w:cs="宋体"/>
              </w:rPr>
              <w:t xml:space="preserve">2.</w:t>
            </w:r>
            <w:r>
              <w:rPr>
                <w:rFonts w:hint="eastAsia"/>
              </w:rPr>
              <w:t xml:space="preserve">三证移动审批</w:t>
            </w:r>
            <w:r>
              <w:rPr>
                <w:rFonts w:hint="eastAsia" w:ascii="宋体" w:hAnsi="宋体" w:cs="宋体"/>
              </w:rPr>
              <w:t xml:space="preserve">：支持渣土车辆行驶证年检审核、营运证核发及年检、交强险保单备案等“三证”相关审批事项的移动端办理，企业通过移动端提交申请后，系统自动将申请材料推送至对应审批岗位人员的移动端。</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ascii="宋体" w:hAnsi="宋体" w:cs="宋体"/>
              </w:rPr>
              <w:t xml:space="preserve">3.智慧卡口执勤：通过智慧渣土移动端开发，执法人员可通过移动端对自己周边指定范围内车辆进行证件、轨迹查看，定时定点查车等操作，方便移动执法。</w:t>
            </w:r>
            <w:r>
              <w:rPr>
                <w:rFonts w:hint="eastAsia" w:ascii="宋体" w:hAnsi="宋体" w:cs="宋体"/>
              </w:rPr>
            </w:r>
            <w:r/>
          </w:p>
          <w:p>
            <w:pPr>
              <w:pStyle w:val="656"/>
              <w:ind w:firstLine="420"/>
              <w:spacing w:line="560" w:lineRule="exact"/>
              <w:shd w:val="clear" w:color="auto" w:fill="ffffff"/>
              <w:widowControl/>
              <w:framePr w:vAnchor="text" w:hAnchor="page" w:x="1168" w:y="336"/>
            </w:pPr>
            <w:r>
              <w:rPr>
                <w:rFonts w:hint="eastAsia" w:ascii="宋体" w:hAnsi="宋体" w:cs="宋体"/>
              </w:rPr>
              <w:t xml:space="preserve">4.街道园区审核：在智慧渣土移动端增加开发街道园区模块，用于街道园区意见线上审批及接收、处理、反馈、完结操作。</w:t>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pPr w:horzAnchor="page" w:tblpX="1168" w:vertAnchor="text" w:tblpY="336" w:leftFromText="180" w:topFromText="0" w:rightFromText="180" w:bottomFromText="0"/>
        <w:tblW w:w="9761" w:type="dxa"/>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framePr w:vAnchor="text" w:hAnchor="page" w:x="1168" w:y="336"/>
            </w:pPr>
            <w:r>
              <w:rPr>
                <w:rFonts w:hint="eastAsia" w:ascii="宋体" w:hAnsi="宋体" w:cs="宋体"/>
                <w:sz w:val="22"/>
              </w:rPr>
              <w:t xml:space="preserve">9. </w:t>
            </w:r>
            <w:bookmarkStart w:id="220" w:name="_Toc1918754424"/>
            <w:r/>
            <w:bookmarkStart w:id="221" w:name="_Toc209105624"/>
            <w:r>
              <w:rPr>
                <w:rFonts w:hint="eastAsia" w:ascii="宋体" w:hAnsi="宋体" w:cs="宋体"/>
                <w:sz w:val="22"/>
              </w:rPr>
              <w:t xml:space="preserve">决策支持管理子系统</w:t>
            </w:r>
            <w:bookmarkEnd w:id="220"/>
            <w:r/>
            <w:bookmarkEnd w:id="221"/>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framePr w:vAnchor="text" w:hAnchor="page" w:x="1168" w:y="336"/>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rPr>
              <w:t xml:space="preserve">1.统计分析总览</w:t>
            </w:r>
            <w:r>
              <w:rPr>
                <w:rFonts w:hint="eastAsia" w:ascii="宋体" w:hAnsi="宋体" w:cs="宋体"/>
              </w:rPr>
              <w:t xml:space="preserve">：根据实际监管工作需要，通过图表的方式，提供日常工作所需的车辆、工地运行、土场运行及违规问题的相关分析图表。</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ascii="宋体" w:hAnsi="宋体" w:cs="宋体"/>
              </w:rPr>
              <w:t xml:space="preserve">2.证件统计报表：可按照区域、时间、企业、车辆等条件，提供渣土三证审核状态维度、时间维度、区域维度、证件类型维度的多维度统计分析等信息的统计，并生成统计报表，报表提供导出和下载功能。</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ascii="宋体" w:hAnsi="宋体" w:cs="宋体"/>
              </w:rPr>
              <w:t xml:space="preserve">3.</w:t>
            </w:r>
            <w:r>
              <w:rPr>
                <w:rFonts w:hint="eastAsia"/>
              </w:rPr>
              <w:t xml:space="preserve">车辆运输报表</w:t>
            </w:r>
            <w:r>
              <w:rPr>
                <w:rFonts w:hint="eastAsia" w:ascii="宋体" w:hAnsi="宋体" w:cs="宋体"/>
              </w:rPr>
              <w:t xml:space="preserve">：可按照车牌、企业、驾驶员、时间等维度，提供车辆渣土运输统计信息，并生成统计报表，报表提供导出和下载功能。</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ascii="宋体" w:hAnsi="宋体" w:cs="宋体"/>
              </w:rPr>
              <w:t xml:space="preserve">4.</w:t>
            </w:r>
            <w:r>
              <w:rPr>
                <w:rFonts w:hint="eastAsia"/>
              </w:rPr>
              <w:t xml:space="preserve">工地运行统计</w:t>
            </w:r>
            <w:r>
              <w:rPr>
                <w:rFonts w:hint="eastAsia" w:ascii="宋体" w:hAnsi="宋体" w:cs="宋体"/>
              </w:rPr>
              <w:t xml:space="preserve">：可按照时间、区域、在建等条件，提供工地渣土运输统计信息，并生成统计报表。统计工地进出车次时间维度报表。</w:t>
            </w:r>
            <w:r>
              <w:rPr>
                <w:rFonts w:hint="eastAsia" w:ascii="宋体" w:hAnsi="宋体" w:cs="宋体"/>
              </w:rPr>
            </w:r>
            <w:r/>
          </w:p>
          <w:p>
            <w:pPr>
              <w:pStyle w:val="656"/>
              <w:ind w:firstLine="420"/>
              <w:spacing w:line="560" w:lineRule="exact"/>
              <w:shd w:val="clear" w:color="auto" w:fill="ffffff"/>
              <w:widowControl/>
              <w:rPr>
                <w:rFonts w:hint="eastAsia"/>
              </w:rPr>
              <w:framePr w:vAnchor="text" w:hAnchor="page" w:x="1168" w:y="336"/>
            </w:pPr>
            <w:r>
              <w:rPr>
                <w:rFonts w:hint="eastAsia"/>
              </w:rPr>
              <w:t xml:space="preserve">5.土场运行统计：可按照时间、区域、在建等条件，提供土场渣土消纳的情况统计信息，统计土场进出车次，并生成统计报表。</w:t>
            </w:r>
            <w:r>
              <w:rPr>
                <w:rFonts w:hint="eastAsia"/>
              </w:rPr>
            </w:r>
            <w:r/>
          </w:p>
          <w:p>
            <w:pPr>
              <w:pStyle w:val="656"/>
              <w:ind w:firstLine="420"/>
              <w:spacing w:line="560" w:lineRule="exact"/>
              <w:shd w:val="clear" w:color="auto" w:fill="ffffff"/>
              <w:widowControl/>
              <w:rPr>
                <w:rFonts w:hint="eastAsia"/>
              </w:rPr>
              <w:framePr w:vAnchor="text" w:hAnchor="page" w:x="1168" w:y="336"/>
            </w:pPr>
            <w:r>
              <w:rPr>
                <w:rFonts w:hint="eastAsia"/>
              </w:rPr>
              <w:t xml:space="preserve">6.违规问题统计：针对区域范围、时间区间、问题类型等条件，统计渣土运输的违规问题和案卷信息。</w:t>
            </w:r>
            <w:r>
              <w:rPr>
                <w:rFonts w:hint="eastAsia"/>
              </w:rPr>
            </w:r>
            <w:r/>
          </w:p>
          <w:p>
            <w:pPr>
              <w:pStyle w:val="656"/>
              <w:ind w:firstLine="420"/>
              <w:spacing w:line="560" w:lineRule="exact"/>
              <w:shd w:val="clear" w:color="auto" w:fill="ffffff"/>
              <w:widowControl/>
              <w:framePr w:vAnchor="text" w:hAnchor="page" w:x="1168" w:y="336"/>
            </w:pPr>
            <w:r>
              <w:rPr>
                <w:rFonts w:hint="eastAsia"/>
              </w:rPr>
              <w:t xml:space="preserve">7.考核情况统计：现各街道考核结果统计、土场工地考核结果统计、车辆考核结果统计。</w:t>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pPr w:horzAnchor="page" w:tblpX="1168" w:vertAnchor="text" w:tblpY="336" w:leftFromText="180" w:topFromText="0" w:rightFromText="180" w:bottomFromText="0"/>
        <w:tblW w:w="9761" w:type="dxa"/>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framePr w:vAnchor="text" w:hAnchor="page" w:x="1168" w:y="336"/>
            </w:pPr>
            <w:r>
              <w:rPr>
                <w:rFonts w:hint="eastAsia" w:ascii="宋体" w:hAnsi="宋体" w:cs="宋体"/>
                <w:sz w:val="22"/>
              </w:rPr>
              <w:t xml:space="preserve">10. </w:t>
            </w:r>
            <w:bookmarkStart w:id="222" w:name="_Toc209105625"/>
            <w:r/>
            <w:bookmarkStart w:id="223" w:name="_Toc1891160816"/>
            <w:r>
              <w:rPr>
                <w:rFonts w:hint="eastAsia" w:ascii="宋体" w:hAnsi="宋体" w:cs="宋体"/>
                <w:sz w:val="22"/>
              </w:rPr>
              <w:t xml:space="preserve">统一工单子系统</w:t>
            </w:r>
            <w:bookmarkEnd w:id="222"/>
            <w:r/>
            <w:bookmarkEnd w:id="223"/>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framePr w:vAnchor="text" w:hAnchor="page" w:x="1168" w:y="336"/>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rPr>
              <w:t xml:space="preserve">1.工单上报</w:t>
            </w:r>
            <w:r>
              <w:rPr>
                <w:rFonts w:hint="eastAsia" w:ascii="宋体" w:hAnsi="宋体" w:cs="宋体"/>
              </w:rPr>
              <w:t xml:space="preserve">：将渣土管理报警事件上报到工单系统，实现工单信息的自动上报，上报信息包含报警事件类型、发生时间、事件详情等信息。</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ascii="宋体" w:hAnsi="宋体" w:cs="宋体"/>
              </w:rPr>
              <w:t xml:space="preserve">2.</w:t>
            </w:r>
            <w:bookmarkStart w:id="224" w:name="_Toc7711"/>
            <w:r>
              <w:rPr>
                <w:rFonts w:hint="eastAsia" w:ascii="宋体" w:hAnsi="宋体" w:cs="宋体"/>
              </w:rPr>
              <w:t xml:space="preserve">工单查询</w:t>
            </w:r>
            <w:bookmarkEnd w:id="224"/>
            <w:r>
              <w:rPr>
                <w:rFonts w:hint="eastAsia" w:ascii="宋体" w:hAnsi="宋体" w:cs="宋体"/>
              </w:rPr>
              <w:t xml:space="preserve">：工单查询模块主要负责对工单进行查询和管理，工单在系统运行的过程中，会遇到如下级单位不接收，不处置，不反馈等多种情形，为了解决这部分问题，提高工单的运行效率，通过事件查询中的关键字管理，查询不通类别的工单处置进度和状态，有助于了解工单的运行情况和问题的集中程度。</w:t>
            </w:r>
            <w:r>
              <w:rPr>
                <w:rFonts w:hint="eastAsia" w:ascii="宋体" w:hAnsi="宋体" w:cs="宋体"/>
              </w:rPr>
            </w:r>
            <w:r/>
          </w:p>
          <w:p>
            <w:pPr>
              <w:pStyle w:val="656"/>
              <w:ind w:firstLine="420"/>
              <w:spacing w:line="560" w:lineRule="exact"/>
              <w:shd w:val="clear" w:color="auto" w:fill="ffffff"/>
              <w:widowControl/>
              <w:rPr>
                <w:rFonts w:hint="eastAsia" w:ascii="宋体" w:hAnsi="宋体" w:cs="宋体"/>
              </w:rPr>
              <w:framePr w:vAnchor="text" w:hAnchor="page" w:x="1168" w:y="336"/>
            </w:pPr>
            <w:r>
              <w:rPr>
                <w:rFonts w:hint="eastAsia" w:ascii="宋体" w:hAnsi="宋体" w:cs="宋体"/>
              </w:rPr>
              <w:t xml:space="preserve">3.</w:t>
            </w:r>
            <w:bookmarkStart w:id="225" w:name="_Toc370"/>
            <w:r>
              <w:rPr>
                <w:rFonts w:hint="eastAsia"/>
              </w:rPr>
              <w:t xml:space="preserve">工单处置</w:t>
            </w:r>
            <w:bookmarkEnd w:id="225"/>
            <w:r>
              <w:rPr>
                <w:rFonts w:hint="eastAsia" w:ascii="宋体" w:hAnsi="宋体" w:cs="宋体"/>
              </w:rPr>
              <w:t xml:space="preserve">：工单处置模块负责对系统中派发至当事人的事件进行处置和管理。工单处置涉及两部分内容，分别是流转端和处置端。针对流转端，需要判断事件的所属类别和责任主体将事件发送至相应的责任部门和单位进行处置；处置端则需要将派送到本人处置的事件按照考评规则和要求进行妥善处置，并上传处置完成的证据并提交上级审核。</w:t>
            </w:r>
            <w:r>
              <w:rPr>
                <w:rFonts w:hint="eastAsia" w:ascii="宋体" w:hAnsi="宋体" w:cs="宋体"/>
              </w:rPr>
            </w:r>
            <w:r/>
          </w:p>
          <w:p>
            <w:pPr>
              <w:pStyle w:val="656"/>
              <w:ind w:firstLine="420"/>
              <w:spacing w:line="560" w:lineRule="exact"/>
              <w:shd w:val="clear" w:color="auto" w:fill="ffffff"/>
              <w:widowControl/>
              <w:framePr w:vAnchor="text" w:hAnchor="page" w:x="1168" w:y="336"/>
            </w:pPr>
            <w:r>
              <w:rPr>
                <w:rFonts w:hint="eastAsia"/>
              </w:rPr>
              <w:t xml:space="preserve">4.</w:t>
            </w:r>
            <w:bookmarkStart w:id="226" w:name="_Toc6704"/>
            <w:r>
              <w:rPr>
                <w:rFonts w:hint="eastAsia"/>
              </w:rPr>
              <w:t xml:space="preserve">工单督办</w:t>
            </w:r>
            <w:bookmarkEnd w:id="226"/>
            <w:r>
              <w:rPr>
                <w:rFonts w:hint="eastAsia"/>
              </w:rPr>
              <w:t xml:space="preserve">：对系统中流转的事件，除正常流转的事件外，对于触发监测预警的事件可以在监测预警模块中进行督办，督办的事件出现任何进展动态则会推送信息至督办人的消息列表中，及时关注被督办事件的处置情况。</w:t>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pPr w:horzAnchor="page" w:tblpX="1168" w:vertAnchor="text" w:tblpY="336" w:leftFromText="180" w:topFromText="0" w:rightFromText="180" w:bottomFromText="0"/>
        <w:tblW w:w="9761" w:type="dxa"/>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framePr w:vAnchor="text" w:hAnchor="page" w:x="1168" w:y="336"/>
            </w:pPr>
            <w:r>
              <w:rPr>
                <w:rFonts w:hint="eastAsia" w:ascii="宋体" w:hAnsi="宋体" w:cs="宋体"/>
                <w:sz w:val="22"/>
              </w:rPr>
              <w:t xml:space="preserve">11. </w:t>
            </w:r>
            <w:bookmarkStart w:id="227" w:name="_Toc80524697"/>
            <w:r/>
            <w:bookmarkStart w:id="228" w:name="_Toc1981858912"/>
            <w:r/>
            <w:bookmarkStart w:id="229" w:name="_Toc209105626"/>
            <w:r>
              <w:t xml:space="preserve">视频</w:t>
            </w:r>
            <w:bookmarkEnd w:id="227"/>
            <w:r>
              <w:t xml:space="preserve">管理子系统</w:t>
            </w:r>
            <w:bookmarkEnd w:id="228"/>
            <w:r/>
            <w:bookmarkEnd w:id="229"/>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framePr w:vAnchor="text" w:hAnchor="page" w:x="1168" w:y="336"/>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ind w:firstLine="420"/>
              <w:spacing w:line="560" w:lineRule="exact"/>
              <w:shd w:val="clear" w:color="auto" w:fill="ffffff"/>
              <w:widowControl/>
              <w:rPr>
                <w:rFonts w:hint="eastAsia" w:ascii="宋体" w:hAnsi="宋体" w:cs="宋体"/>
              </w:rPr>
              <w:framePr w:vAnchor="text" w:hAnchor="page" w:x="1168" w:y="336"/>
            </w:pPr>
            <w:r>
              <w:rPr>
                <w:rFonts w:ascii="宋体" w:hAnsi="宋体" w:cs="宋体"/>
              </w:rPr>
              <w:t xml:space="preserve">▲</w:t>
            </w:r>
            <w:r>
              <w:rPr>
                <w:rFonts w:hint="eastAsia"/>
              </w:rPr>
              <w:t xml:space="preserve">1.视频汇聚管理</w:t>
            </w:r>
            <w:r>
              <w:rPr>
                <w:rFonts w:hint="eastAsia" w:ascii="宋体" w:hAnsi="宋体" w:cs="宋体"/>
              </w:rPr>
              <w:t xml:space="preserve">：构建渣土监管全场景视频资源一体化管理体系，通过标准化接口对接工地、土场、车载及企业监控室等多源视频资源，实现统一接入、集成汇聚、规范存储与便捷回看，为现场监管、违规溯源及证据固定提供核心支撑。</w:t>
            </w:r>
            <w:r>
              <w:rPr>
                <w:rFonts w:hint="eastAsia" w:ascii="宋体" w:hAnsi="宋体" w:cs="宋体"/>
              </w:rPr>
            </w:r>
            <w:r/>
          </w:p>
          <w:p>
            <w:pPr>
              <w:pStyle w:val="656"/>
              <w:ind w:firstLine="420"/>
              <w:spacing w:line="560" w:lineRule="exact"/>
              <w:shd w:val="clear" w:color="auto" w:fill="ffffff"/>
              <w:widowControl/>
              <w:rPr>
                <w:rFonts w:ascii="宋体" w:hAnsi="宋体" w:cs="宋体"/>
              </w:rPr>
              <w:framePr w:vAnchor="text" w:hAnchor="page" w:x="1168" w:y="336"/>
            </w:pPr>
            <w:r>
              <w:rPr>
                <w:rFonts w:ascii="宋体" w:hAnsi="宋体" w:cs="宋体"/>
              </w:rPr>
              <w:t xml:space="preserve">▲</w:t>
            </w:r>
            <w:r>
              <w:rPr>
                <w:rFonts w:hint="eastAsia" w:ascii="宋体" w:hAnsi="宋体" w:cs="宋体"/>
              </w:rPr>
              <w:t xml:space="preserve">2.</w:t>
            </w:r>
            <w:r>
              <w:rPr>
                <w:rFonts w:hint="eastAsia"/>
              </w:rPr>
              <w:t xml:space="preserve">视频监控管理</w:t>
            </w:r>
            <w:r>
              <w:rPr>
                <w:rFonts w:hint="eastAsia" w:ascii="宋体" w:hAnsi="宋体" w:cs="宋体"/>
              </w:rPr>
              <w:t xml:space="preserve">：系统需具备视频监控管理能力，支持对探头资源目录进行分类新增、删除及查询定位；可查看并编辑探头编号、类型、名称、所属街道等基础信息；能够查看实时监控画面；对工地、土场、渣土车等监控设备实现分级分类管理，结合 GIS 地理信息展示设备位置并支持按地址查询，可查看设备信息与实时画面。</w:t>
            </w:r>
            <w:r>
              <w:rPr>
                <w:rFonts w:ascii="宋体" w:hAnsi="宋体" w:cs="宋体"/>
              </w:rPr>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tbl>
      <w:tblPr>
        <w:tblpPr w:horzAnchor="page" w:tblpX="1168" w:vertAnchor="text" w:tblpY="336" w:leftFromText="180" w:topFromText="0" w:rightFromText="180" w:bottomFromText="0"/>
        <w:tblW w:w="9761" w:type="dxa"/>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8801"/>
      </w:tblGrid>
      <w:tr>
        <w:trPr>
          <w:trHeight w:val="270"/>
        </w:trPr>
        <w:tc>
          <w:tcPr>
            <w:gridSpan w:val="2"/>
            <w:tcBorders>
              <w:top w:val="single" w:color="000000" w:sz="4" w:space="0"/>
              <w:left w:val="single" w:color="000000" w:sz="4" w:space="0"/>
              <w:bottom w:val="single" w:color="000000" w:sz="4" w:space="0"/>
              <w:right w:val="single" w:color="000000" w:sz="4" w:space="0"/>
            </w:tcBorders>
            <w:tcW w:w="9761" w:type="dxa"/>
            <w:vAlign w:val="center"/>
            <w:textDirection w:val="lrTb"/>
            <w:noWrap/>
          </w:tcPr>
          <w:p>
            <w:pPr>
              <w:pStyle w:val="656"/>
              <w:jc w:val="left"/>
              <w:widowControl/>
              <w:rPr>
                <w:rFonts w:ascii="宋体" w:hAnsi="宋体" w:cs="宋体"/>
                <w:sz w:val="22"/>
              </w:rPr>
              <w:framePr w:vAnchor="text" w:hAnchor="page" w:x="1168" w:y="336"/>
            </w:pPr>
            <w:r>
              <w:rPr>
                <w:rFonts w:hint="eastAsia" w:ascii="宋体" w:hAnsi="宋体" w:cs="宋体"/>
                <w:sz w:val="22"/>
              </w:rPr>
              <w:t xml:space="preserve">12. </w:t>
            </w:r>
            <w:bookmarkStart w:id="230" w:name="_Toc1631369014"/>
            <w:r>
              <w:t xml:space="preserve">数据对接服务</w:t>
            </w:r>
            <w:bookmarkEnd w:id="230"/>
            <w:r>
              <w:rPr>
                <w:rFonts w:ascii="宋体" w:hAnsi="宋体" w:cs="宋体"/>
                <w:sz w:val="22"/>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名称</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widowControl/>
              <w:rPr>
                <w:rFonts w:ascii="宋体" w:hAnsi="宋体" w:cs="宋体"/>
                <w:b/>
                <w:bCs/>
              </w:rPr>
              <w:framePr w:vAnchor="text" w:hAnchor="page" w:x="1168" w:y="336"/>
            </w:pPr>
            <w:r>
              <w:rPr>
                <w:rFonts w:hint="eastAsia" w:ascii="宋体" w:hAnsi="宋体" w:cs="宋体"/>
                <w:b/>
                <w:bCs/>
              </w:rPr>
              <w:t xml:space="preserve">功能、性能、配置要求</w:t>
            </w:r>
            <w:r>
              <w:rPr>
                <w:rFonts w:ascii="宋体" w:hAnsi="宋体" w:cs="宋体"/>
                <w:b/>
                <w:bCs/>
              </w:rPr>
            </w:r>
            <w:r/>
          </w:p>
        </w:tc>
      </w:tr>
      <w:tr>
        <w:trPr>
          <w:trHeight w:val="27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jc w:val="left"/>
              <w:rPr>
                <w:rFonts w:ascii="宋体" w:hAnsi="宋体" w:cs="宋体"/>
                <w:b/>
                <w:bCs/>
              </w:rPr>
              <w:framePr w:vAnchor="text" w:hAnchor="page" w:x="1168" w:y="336"/>
            </w:pPr>
            <w:r>
              <w:rPr>
                <w:rFonts w:ascii="宋体" w:hAnsi="宋体" w:cs="宋体"/>
                <w:b/>
                <w:bCs/>
              </w:rPr>
            </w:r>
            <w:r/>
          </w:p>
        </w:tc>
      </w:tr>
      <w:tr>
        <w:trPr>
          <w:trHeight w:val="1358"/>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656"/>
              <w:jc w:val="left"/>
              <w:widowControl/>
              <w:rPr>
                <w:rFonts w:ascii="宋体" w:hAnsi="宋体" w:cs="宋体"/>
              </w:rPr>
              <w:framePr w:vAnchor="text" w:hAnchor="page" w:x="1168" w:y="336"/>
            </w:pPr>
            <w:r>
              <w:rPr>
                <w:rFonts w:hint="eastAsia" w:ascii="宋体" w:hAnsi="宋体" w:cs="宋体"/>
              </w:rPr>
              <w:t xml:space="preserve">非实质性要求</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801" w:type="dxa"/>
            <w:vAlign w:val="top"/>
            <w:textDirection w:val="lrTb"/>
            <w:noWrap/>
          </w:tcPr>
          <w:p>
            <w:pPr>
              <w:pStyle w:val="656"/>
              <w:spacing w:line="560" w:lineRule="exact"/>
              <w:shd w:val="clear" w:color="auto" w:fill="ffffff"/>
              <w:widowControl/>
              <w:rPr>
                <w:rFonts w:hint="eastAsia" w:ascii="宋体" w:hAnsi="宋体" w:cs="宋体"/>
              </w:rPr>
              <w:framePr w:vAnchor="text" w:hAnchor="page" w:x="1168" w:y="336"/>
            </w:pPr>
            <w:r>
              <w:rPr>
                <w:rFonts w:ascii="宋体" w:hAnsi="宋体" w:cs="宋体"/>
              </w:rPr>
              <w:t xml:space="preserve">▲</w:t>
            </w:r>
            <w:r>
              <w:rPr>
                <w:rFonts w:hint="eastAsia" w:ascii="宋体" w:hAnsi="宋体" w:cs="宋体"/>
              </w:rPr>
              <w:t xml:space="preserve">1.运输企业数据对接：实时采集车辆 GPS 坐标、行驶速度等动态数据，并对偏离围栏、超速等异常实时告警、快速推送及闭环处置；</w:t>
            </w:r>
            <w:r>
              <w:rPr>
                <w:rFonts w:hint="eastAsia" w:ascii="宋体" w:hAnsi="宋体" w:cs="宋体"/>
              </w:rPr>
            </w:r>
            <w:r/>
          </w:p>
          <w:p>
            <w:pPr>
              <w:pStyle w:val="656"/>
              <w:spacing w:line="560" w:lineRule="exact"/>
              <w:shd w:val="clear" w:color="auto" w:fill="ffffff"/>
              <w:widowControl/>
              <w:rPr>
                <w:rFonts w:hint="eastAsia" w:ascii="宋体" w:hAnsi="宋体" w:cs="宋体"/>
              </w:rPr>
              <w:framePr w:vAnchor="text" w:hAnchor="page" w:x="1168" w:y="336"/>
            </w:pPr>
            <w:r>
              <w:rPr>
                <w:rFonts w:ascii="宋体" w:hAnsi="宋体" w:cs="宋体"/>
              </w:rPr>
              <w:t xml:space="preserve">▲</w:t>
            </w:r>
            <w:r>
              <w:rPr>
                <w:rFonts w:hint="eastAsia" w:ascii="宋体" w:hAnsi="宋体" w:cs="宋体"/>
              </w:rPr>
              <w:t xml:space="preserve">2.土场（消纳场）数据对接：建立作业管理数据全维度采集传输机制，规范土场容量占用率、入场车辆识别、分类消纳土方量等核心数据。</w:t>
            </w:r>
            <w:r>
              <w:rPr>
                <w:rFonts w:hint="eastAsia" w:ascii="宋体" w:hAnsi="宋体" w:cs="宋体"/>
              </w:rPr>
            </w:r>
            <w:r/>
          </w:p>
          <w:p>
            <w:pPr>
              <w:pStyle w:val="656"/>
              <w:spacing w:line="560" w:lineRule="exact"/>
              <w:shd w:val="clear" w:color="auto" w:fill="ffffff"/>
              <w:widowControl/>
              <w:rPr>
                <w:rFonts w:ascii="宋体" w:hAnsi="宋体" w:cs="宋体"/>
              </w:rPr>
              <w:framePr w:vAnchor="text" w:hAnchor="page" w:x="1168" w:y="336"/>
            </w:pPr>
            <w:r>
              <w:rPr>
                <w:rFonts w:ascii="宋体" w:hAnsi="宋体" w:cs="宋体"/>
              </w:rPr>
              <w:t xml:space="preserve">▲</w:t>
            </w:r>
            <w:r>
              <w:rPr>
                <w:rFonts w:hint="eastAsia" w:ascii="宋体" w:hAnsi="宋体" w:cs="宋体"/>
              </w:rPr>
              <w:t xml:space="preserve">3.工地数据对接：构建工地数据对接体系，通过标准化接口与工地管理系统、物联网设备深度联动，实现工地渣土运输全流程数据闭环管理。</w:t>
            </w:r>
            <w:r>
              <w:rPr>
                <w:rFonts w:ascii="宋体" w:hAnsi="宋体" w:cs="宋体"/>
              </w:rPr>
            </w:r>
            <w:r/>
          </w:p>
        </w:tc>
      </w:tr>
    </w:tbl>
    <w:p>
      <w:pPr>
        <w:pStyle w:val="65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6"/>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656"/>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rPr>
          <w:rFonts w:ascii="宋体" w:hAnsi="宋体" w:cs="宋体"/>
          <w:bCs/>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656"/>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656"/>
        <w:ind w:firstLine="480"/>
        <w:rPr>
          <w:rFonts w:ascii="宋体" w:hAnsi="宋体"/>
          <w:sz w:val="24"/>
          <w:szCs w:val="24"/>
        </w:rPr>
      </w:pPr>
      <w:r>
        <w:rPr>
          <w:rFonts w:hint="eastAsia" w:ascii="宋体" w:hAnsi="宋体"/>
          <w:sz w:val="24"/>
          <w:szCs w:val="24"/>
        </w:rPr>
        <w:t xml:space="preserve">投标人中标后必须有针对本项目的质量保证体系和组织，并制订质量保证计划，列出项目开工过程中质量监督和保证执行的措施。中标人在项目实施过程中要记录质量保证活动，并保存和维护这些记录。</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投标人保证所供应的产品质量标准按照国家标准、行业标准或制造厂家企业标准确定，上述标准不一致的，以高等级的标准为准。没有国家标准、行业标准和企业标准的，按照通常标准、合同目的的特定标准或者采购人提供的标准。</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投标人应保证所提供的产品、服务、成果或其任何一部分均不会侵犯任何第三方的知识产权，</w:t>
      </w:r>
      <w:bookmarkStart w:id="231" w:name="_Hlk198574262"/>
      <w:r>
        <w:rPr>
          <w:rFonts w:hint="eastAsia" w:ascii="宋体" w:hAnsi="宋体"/>
          <w:sz w:val="24"/>
          <w:szCs w:val="24"/>
        </w:rPr>
        <w:t xml:space="preserve">否则</w:t>
      </w:r>
      <w:bookmarkStart w:id="232" w:name="OLE_LINK12"/>
      <w:r>
        <w:rPr>
          <w:rFonts w:hint="eastAsia" w:ascii="宋体" w:hAnsi="宋体"/>
          <w:sz w:val="24"/>
          <w:szCs w:val="24"/>
        </w:rPr>
        <w:t xml:space="preserve">投标人</w:t>
      </w:r>
      <w:bookmarkEnd w:id="231"/>
      <w:r>
        <w:rPr>
          <w:rFonts w:hint="eastAsia" w:ascii="宋体" w:hAnsi="宋体"/>
          <w:sz w:val="24"/>
          <w:szCs w:val="24"/>
        </w:rPr>
        <w:t xml:space="preserve">应承担由此产生的一切责任和损失，并应向采购人支付合同总价10%</w:t>
      </w:r>
      <w:r>
        <w:rPr>
          <w:rFonts w:ascii="宋体" w:hAnsi="宋体"/>
          <w:sz w:val="24"/>
          <w:szCs w:val="24"/>
        </w:rPr>
        <w:t xml:space="preserve">的违约金。在此情况下，采购人有权立即解除本合同，并要求投标人赔偿全部损失</w:t>
      </w:r>
      <w:r>
        <w:rPr>
          <w:rFonts w:hint="eastAsia" w:ascii="宋体" w:hAnsi="宋体"/>
          <w:sz w:val="24"/>
          <w:szCs w:val="24"/>
        </w:rPr>
        <w:t xml:space="preserve">（包括但不限于采购人因第三方权利主张产生的差旅费用、鉴定费用、诉讼费用、律师费用及赔偿金。）</w:t>
      </w:r>
      <w:bookmarkEnd w:id="232"/>
      <w:r>
        <w:rPr>
          <w:rFonts w:ascii="宋体" w:hAnsi="宋体"/>
          <w:sz w:val="24"/>
          <w:szCs w:val="24"/>
        </w:rPr>
      </w:r>
      <w:r/>
    </w:p>
    <w:p>
      <w:pPr>
        <w:pStyle w:val="656"/>
        <w:ind w:firstLine="480"/>
        <w:rPr>
          <w:rFonts w:hint="eastAsia" w:ascii="宋体" w:hAnsi="宋体"/>
          <w:sz w:val="24"/>
          <w:szCs w:val="24"/>
        </w:rPr>
      </w:pPr>
      <w:r>
        <w:rPr>
          <w:rFonts w:hint="eastAsia" w:ascii="宋体" w:hAnsi="宋体"/>
          <w:sz w:val="24"/>
          <w:szCs w:val="24"/>
        </w:rPr>
        <w:t xml:space="preserve">中标人保证所交付的产品、成果的所有权完全属于采购人且无任何抵押、查封等产权瑕疵，否则中标人应承担由此产生的一切责任和损失，并应向采购人支付合同总价10%的违约金。在此情况下，采购人有权立即解除本合同，并要求投标人赔偿全部损失（包括但不限于采购人因第三方权利主张产生的差旅费用、鉴定费用、诉讼费用、律师费用及赔偿金。）</w:t>
      </w:r>
      <w:r>
        <w:rPr>
          <w:rFonts w:hint="eastAsia" w:ascii="宋体" w:hAnsi="宋体"/>
          <w:sz w:val="24"/>
          <w:szCs w:val="24"/>
        </w:rPr>
      </w:r>
      <w:r/>
    </w:p>
    <w:p>
      <w:pPr>
        <w:pStyle w:val="656"/>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rPr>
          <w:rFonts w:hint="eastAsia" w:ascii="宋体" w:hAnsi="宋体" w:cs="宋体"/>
          <w:sz w:val="24"/>
          <w:szCs w:val="24"/>
        </w:rPr>
      </w:r>
      <w:r/>
    </w:p>
    <w:p>
      <w:pPr>
        <w:pStyle w:val="656"/>
        <w:ind w:firstLine="480"/>
        <w:rPr>
          <w:rFonts w:hint="eastAsia" w:ascii="宋体" w:hAnsi="宋体"/>
          <w:sz w:val="24"/>
          <w:szCs w:val="24"/>
        </w:rPr>
      </w:pPr>
      <w:r>
        <w:rPr>
          <w:rFonts w:hint="eastAsia" w:ascii="宋体" w:hAnsi="宋体"/>
          <w:sz w:val="24"/>
          <w:szCs w:val="24"/>
        </w:rPr>
        <w:t xml:space="preserve">投标人须安排项目实施服务人员，提供专业的实施交付及售后服务，且项目团队需要明确项目负责人1人，技术负责人1人和团队其他人员5人。</w:t>
      </w:r>
      <w:r>
        <w:rPr>
          <w:rFonts w:hint="eastAsia" w:ascii="宋体" w:hAnsi="宋体"/>
          <w:sz w:val="24"/>
          <w:szCs w:val="24"/>
        </w:rPr>
      </w:r>
      <w:r/>
    </w:p>
    <w:p>
      <w:pPr>
        <w:pStyle w:val="656"/>
        <w:ind w:firstLine="420"/>
        <w:jc w:val="left"/>
        <w:widowControl/>
      </w:pPr>
      <w:r>
        <w:rPr>
          <w:rFonts w:hint="eastAsia" w:ascii="宋体" w:hAnsi="宋体"/>
          <w:sz w:val="24"/>
          <w:szCs w:val="24"/>
        </w:rPr>
        <w:t xml:space="preserve">项目进入试运行期后</w:t>
      </w:r>
      <w:r>
        <w:rPr>
          <w:rFonts w:ascii="宋体" w:hAnsi="宋体" w:cs="宋体"/>
          <w:sz w:val="24"/>
          <w:szCs w:val="24"/>
          <w:lang w:bidi="ar"/>
        </w:rPr>
        <w:t xml:space="preserve">15个工作日内</w:t>
      </w:r>
      <w:r>
        <w:rPr>
          <w:rFonts w:hint="eastAsia" w:ascii="宋体" w:hAnsi="宋体"/>
          <w:sz w:val="24"/>
          <w:szCs w:val="24"/>
        </w:rPr>
        <w:t xml:space="preserve">，中标供应商须提供完善培训服务，确保采购人工作人员（含管理人员、操作人员）熟练掌握渣土监管平台操作、应用、维护及常见问题处理。中标供应商需提交贴合平台核心功能的培训方案，且完成不少于2场、单场不低于2小时的线下集中培训。</w:t>
      </w:r>
      <w:r>
        <w:rPr>
          <w:rFonts w:hint="eastAsia" w:ascii="宋体" w:hAnsi="宋体" w:cs="宋体"/>
          <w:sz w:val="24"/>
          <w:szCs w:val="24"/>
          <w:lang w:bidi="ar"/>
        </w:rPr>
        <w:t xml:space="preserve">中标供应商</w:t>
      </w:r>
      <w:r>
        <w:rPr>
          <w:rFonts w:ascii="宋体" w:hAnsi="宋体" w:cs="宋体"/>
          <w:sz w:val="24"/>
          <w:szCs w:val="24"/>
          <w:lang w:bidi="ar"/>
        </w:rPr>
        <w:t xml:space="preserve">需免费提供纸质及电子版培训资料，所有培训相关费用均包含在投标报价中，采购人无需另行支付。</w:t>
      </w:r>
      <w:r/>
    </w:p>
    <w:p>
      <w:pPr>
        <w:pStyle w:val="656"/>
        <w:ind w:firstLine="480"/>
        <w:rPr>
          <w:rFonts w:ascii="宋体" w:hAnsi="宋体"/>
          <w:sz w:val="24"/>
          <w:szCs w:val="24"/>
        </w:rPr>
      </w:pPr>
      <w:r/>
      <w:bookmarkStart w:id="233" w:name="OLE_LINK13"/>
      <w:r>
        <w:rPr>
          <w:rFonts w:hint="eastAsia" w:ascii="宋体" w:hAnsi="宋体"/>
          <w:sz w:val="24"/>
          <w:szCs w:val="24"/>
        </w:rPr>
        <w:t xml:space="preserve">项目交付后，中标供应商需提供7×24小时售后服务响应。对采购人提出的问题，中标供应商技术人员应即时响应和处理，1小时内处理故障。对于远程无法解决的问题，48小时内到达现场提供售后服务。上述所有服务相关费用，均已包含在本次投标报价中，采购人无需另行支付。</w:t>
      </w:r>
      <w:r>
        <w:rPr>
          <w:rFonts w:ascii="宋体" w:hAnsi="宋体"/>
          <w:sz w:val="24"/>
          <w:szCs w:val="24"/>
        </w:rPr>
      </w:r>
      <w:r/>
    </w:p>
    <w:p>
      <w:pPr>
        <w:pStyle w:val="656"/>
        <w:ind w:firstLine="480"/>
        <w:rPr>
          <w:rFonts w:ascii="宋体" w:hAnsi="宋体"/>
          <w:sz w:val="24"/>
          <w:szCs w:val="24"/>
        </w:rPr>
      </w:pPr>
      <w:r>
        <w:rPr>
          <w:rFonts w:hint="eastAsia" w:ascii="宋体" w:hAnsi="宋体"/>
          <w:sz w:val="24"/>
          <w:szCs w:val="24"/>
        </w:rPr>
        <w:t xml:space="preserve">若因中标供应商未及时履行其服务职责导致采购人业务受到严重影响或产生额外损失，采购人有权在书面通知投标人后，自行或委托第三方进行紧急处理或维修，由此产生的一切费用（包括但不限于维修费、差旅费、应急采购费等），均由中标供应商承担。采购人有权直接从应支付给中标供应商的项目款或质保金中扣除，不足部分中标供应商应予补足。</w:t>
      </w:r>
      <w:bookmarkEnd w:id="233"/>
      <w:r>
        <w:rPr>
          <w:rFonts w:ascii="宋体" w:hAnsi="宋体"/>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rPr>
          <w:rFonts w:hint="eastAsia" w:ascii="宋体" w:hAnsi="宋体" w:cs="宋体"/>
          <w:bCs/>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hint="eastAsia" w:ascii="宋体" w:hAnsi="宋体"/>
          <w:sz w:val="24"/>
          <w:szCs w:val="24"/>
        </w:rPr>
      </w:r>
      <w:r/>
    </w:p>
    <w:p>
      <w:pPr>
        <w:pStyle w:val="656"/>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rPr>
          <w:rFonts w:hint="eastAsia" w:ascii="宋体" w:hAnsi="宋体" w:cs="宋体"/>
          <w:bCs/>
          <w:sz w:val="24"/>
          <w:szCs w:val="24"/>
        </w:rPr>
      </w:r>
      <w:r/>
    </w:p>
    <w:p>
      <w:pPr>
        <w:pStyle w:val="656"/>
        <w:ind w:firstLine="480"/>
        <w:spacing w:line="264" w:lineRule="auto"/>
        <w:rPr>
          <w:rFonts w:hint="eastAsia" w:ascii="宋体" w:hAnsi="宋体"/>
          <w:sz w:val="24"/>
          <w:szCs w:val="24"/>
        </w:rPr>
      </w:pPr>
      <w:r/>
      <w:bookmarkStart w:id="234" w:name="_Hlk198565534"/>
      <w:r/>
      <w:bookmarkStart w:id="235" w:name="OLE_LINK19"/>
      <w:r>
        <w:rPr>
          <w:rFonts w:hint="eastAsia" w:ascii="宋体" w:hAnsi="宋体"/>
          <w:sz w:val="24"/>
          <w:szCs w:val="24"/>
        </w:rPr>
        <w:t xml:space="preserve">提供3年平台维保服务</w:t>
      </w:r>
      <w:bookmarkEnd w:id="234"/>
      <w:r>
        <w:rPr>
          <w:rFonts w:hint="eastAsia" w:ascii="宋体" w:hAnsi="宋体"/>
          <w:sz w:val="24"/>
          <w:szCs w:val="24"/>
        </w:rPr>
        <w:t xml:space="preserve">（自采购人验收合格，签署验收报告之日起计，费用包含在本次报价中），服务内容包含且不限于对项目的平台日常稳定运行保障、网络安全状态维护、风险漏洞修复、系统数据治理以及系统版本迭代升级等</w:t>
      </w:r>
      <w:bookmarkEnd w:id="235"/>
      <w:r>
        <w:rPr>
          <w:rFonts w:hint="eastAsia" w:ascii="宋体" w:hAnsi="宋体"/>
          <w:sz w:val="24"/>
          <w:szCs w:val="24"/>
        </w:rPr>
        <w:t xml:space="preserve">。</w:t>
      </w:r>
      <w:r>
        <w:rPr>
          <w:rFonts w:hint="eastAsia" w:ascii="宋体" w:hAnsi="宋体"/>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rPr>
          <w:rFonts w:hint="eastAsia" w:ascii="宋体" w:hAnsi="宋体" w:cs="宋体"/>
          <w:bCs/>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①项目经理：1人，具有至少</w:t>
      </w:r>
      <w:r>
        <w:rPr>
          <w:rFonts w:hint="eastAsia" w:ascii="宋体" w:hAnsi="宋体"/>
          <w:sz w:val="24"/>
          <w:szCs w:val="24"/>
          <w:lang w:val="en-US" w:eastAsia="zh-CN"/>
        </w:rPr>
        <w:t xml:space="preserve">5</w:t>
      </w:r>
      <w:r>
        <w:rPr>
          <w:rFonts w:hint="eastAsia" w:ascii="宋体" w:hAnsi="宋体"/>
          <w:sz w:val="24"/>
          <w:szCs w:val="24"/>
        </w:rPr>
        <w:t xml:space="preserve">年（含）以上信息化项目管理工作经验。 </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②技术负责人1人，具有至少</w:t>
      </w:r>
      <w:r>
        <w:rPr>
          <w:rFonts w:hint="eastAsia" w:ascii="宋体" w:hAnsi="宋体"/>
          <w:sz w:val="24"/>
          <w:szCs w:val="24"/>
          <w:lang w:val="en-US" w:eastAsia="zh-CN"/>
        </w:rPr>
        <w:t xml:space="preserve">5</w:t>
      </w:r>
      <w:r>
        <w:rPr>
          <w:rFonts w:hint="eastAsia" w:ascii="宋体" w:hAnsi="宋体"/>
          <w:sz w:val="24"/>
          <w:szCs w:val="24"/>
        </w:rPr>
        <w:t xml:space="preserve">年（含）以上信息化项目技术管理工作经验。  </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③开发实施人员：不少于4人，且至少保证1-2人在采购人指定现场进行驻场开发实施，相关人员需具有信息化工作经验。 </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④运维服务人员：不少于1人，具有信息化工作经验。 </w:t>
      </w:r>
      <w:r>
        <w:rPr>
          <w:rFonts w:hint="eastAsia" w:ascii="宋体" w:hAnsi="宋体"/>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rPr>
          <w:rFonts w:hint="eastAsia" w:ascii="宋体" w:hAnsi="宋体" w:cs="宋体"/>
          <w:bCs/>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rPr>
          <w:rFonts w:hint="eastAsia" w:ascii="宋体" w:hAnsi="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（7）建设成果要求</w:t>
      </w:r>
      <w:r>
        <w:rPr>
          <w:rFonts w:hint="eastAsia" w:ascii="宋体" w:hAnsi="宋体" w:cs="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（8）信创适配要求</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项目涉及的软件、硬件产品满足信创要求。</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（9）网络安全等级保护测评要求</w:t>
      </w:r>
      <w:r>
        <w:rPr>
          <w:rFonts w:hint="eastAsia" w:ascii="宋体" w:hAnsi="宋体"/>
          <w:sz w:val="24"/>
          <w:szCs w:val="24"/>
        </w:rPr>
      </w:r>
      <w:r/>
    </w:p>
    <w:p>
      <w:pPr>
        <w:pStyle w:val="656"/>
        <w:ind w:firstLine="480"/>
        <w:spacing w:line="264" w:lineRule="auto"/>
        <w:rPr>
          <w:rFonts w:ascii="宋体" w:hAnsi="宋体"/>
          <w:sz w:val="24"/>
          <w:szCs w:val="24"/>
        </w:rPr>
      </w:pPr>
      <w:r>
        <w:rPr>
          <w:rFonts w:hint="eastAsia" w:ascii="宋体" w:hAnsi="宋体"/>
          <w:sz w:val="24"/>
          <w:szCs w:val="24"/>
        </w:rPr>
        <w:t xml:space="preserve">供应商配合采购人，做好系统通过三级等保测评相关准备工作。</w:t>
      </w:r>
      <w:r>
        <w:rPr>
          <w:rFonts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（10）系统对接要求</w:t>
      </w:r>
      <w:r>
        <w:rPr>
          <w:rFonts w:hint="eastAsia" w:ascii="宋体" w:hAnsi="宋体"/>
          <w:sz w:val="24"/>
          <w:szCs w:val="24"/>
        </w:rPr>
        <w:br w:type="textWrapping" w:clear="all"/>
      </w:r>
      <w:r>
        <w:rPr>
          <w:rFonts w:hint="eastAsia" w:ascii="宋体" w:hAnsi="宋体"/>
          <w:sz w:val="24"/>
          <w:szCs w:val="24"/>
        </w:rPr>
        <w:t xml:space="preserve">    供应商在提供定制软件开发服务时，需满足以下对接要求：</w:t>
      </w:r>
      <w:r>
        <w:rPr>
          <w:rFonts w:hint="eastAsia" w:ascii="宋体" w:hAnsi="宋体"/>
          <w:sz w:val="24"/>
          <w:szCs w:val="24"/>
        </w:rPr>
        <w:br w:type="textWrapping" w:clear="all"/>
      </w:r>
      <w:r>
        <w:rPr>
          <w:rFonts w:hint="eastAsia" w:ascii="宋体" w:hAnsi="宋体"/>
          <w:sz w:val="24"/>
          <w:szCs w:val="24"/>
        </w:rPr>
        <w:t xml:space="preserve">    与江宁区数据共享交换平台对接；对接工作联系人：陈峰，联系电话：025-86139009。</w:t>
      </w:r>
      <w:r>
        <w:rPr>
          <w:rFonts w:hint="eastAsia" w:ascii="宋体" w:hAnsi="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（11）网络安全和数据安全要求，外包网络安全管理要求</w:t>
      </w:r>
      <w:r>
        <w:rPr>
          <w:rFonts w:hint="eastAsia" w:ascii="宋体" w:hAnsi="宋体"/>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符合网络安全和密码应用要求，符合国家安全可靠应用政策规定，具体包括：</w:t>
      </w:r>
      <w:r>
        <w:rPr>
          <w:rFonts w:hint="eastAsia" w:ascii="宋体" w:hAnsi="宋体" w:cs="宋体"/>
          <w:bCs/>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t xml:space="preserve">《南京市渣土运输管理办法》</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《中华人民共和国网络安全法》</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《中华人民共和国数据安全法》</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《中华人民共和国密码法》</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《商用密码管理条例》</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《计算机信息系统保密管理暂行规定》（国保发〔1998〕1号）</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《计算机软件产品开发文件编制指南》（GB/T 8567-1988）</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《政务信息资源交换体系》（GB/T 21062.3-2007）</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《政务信息资源目录体系》（GB/T 21063.6-2007）</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《计算机信息系统安全保护等级划分准则》（GB/T 17859-1999）</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《信息技术安全技术信息技术安全性评估准则》（GB/T18336-2001）</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《信息安全技术信息安全风险评估规范》（GB/T 20984-2007）</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《政府信息系统安全防护基本要求》（DB32/T 1927-2011）</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《信息安全技术 网络安全等级保护基本要求》（GB/T 22239-2019）</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《国家信息中心政务外网标准政务云安全要求（GW0013—2017）》</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《信息安全技术 云计算服务安全指南》（GB/T 31167-2014）；</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《信息安全技术云计算服务安全能力要求》（GB/T 31168-2014）</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《信息安全技术 政府部门信息安全管理基本要求》（GB/T 29245-2012）</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《国家电子政务外网跨网数据安全交换技术要求和实施指南》（GW0205-2014）</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《电子政务系统总体设计要求》（GB/T 21064-2007）</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《信息系统灾难恢复规范》（GB/T 20988-2007）</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《信息系统安全等级保护基本要求》（GB/T 22239-2008）</w:t>
      </w:r>
      <w:r>
        <w:rPr>
          <w:rFonts w:hint="eastAsia" w:ascii="宋体" w:hAnsi="宋体" w:cs="宋体"/>
          <w:bCs/>
          <w:sz w:val="24"/>
          <w:szCs w:val="24"/>
        </w:rPr>
      </w:r>
      <w:r/>
    </w:p>
    <w:p>
      <w:pPr>
        <w:pStyle w:val="656"/>
        <w:ind w:firstLine="420"/>
        <w:spacing w:line="264" w:lineRule="auto"/>
        <w:rPr>
          <w:rFonts w:hint="eastAsia" w:ascii="宋体" w:hAnsi="宋体" w:cs="宋体"/>
          <w:bCs/>
          <w:sz w:val="24"/>
          <w:szCs w:val="24"/>
        </w:rPr>
      </w:pPr>
      <w:r>
        <w:rPr>
          <w:rFonts w:hint="eastAsia" w:ascii="宋体" w:hAnsi="宋体" w:cs="宋体"/>
          <w:bCs/>
          <w:sz w:val="24"/>
          <w:szCs w:val="24"/>
        </w:rPr>
        <w:t xml:space="preserve">《信息技术安全技术信息安全管理体系要求》（GB/T 22080-2008） </w:t>
      </w:r>
      <w:r>
        <w:rPr>
          <w:rFonts w:hint="eastAsia" w:ascii="宋体" w:hAnsi="宋体" w:cs="宋体"/>
          <w:bCs/>
          <w:sz w:val="24"/>
          <w:szCs w:val="24"/>
        </w:rPr>
      </w:r>
      <w:r/>
    </w:p>
    <w:p>
      <w:pPr>
        <w:pStyle w:val="656"/>
        <w:ind w:firstLine="482"/>
        <w:spacing w:line="264" w:lineRule="auto"/>
        <w:rPr>
          <w:rFonts w:hint="eastAsia" w:ascii="宋体" w:hAnsi="宋体" w:cs="宋体"/>
          <w:b/>
          <w:color w:val="0000ff"/>
          <w:sz w:val="24"/>
          <w:szCs w:val="24"/>
        </w:rPr>
      </w:pPr>
      <w:r>
        <w:rPr>
          <w:rFonts w:hint="eastAsia" w:ascii="宋体" w:hAnsi="宋体" w:cs="宋体"/>
          <w:b/>
          <w:color w:val="0000ff"/>
          <w:sz w:val="24"/>
          <w:szCs w:val="24"/>
        </w:rPr>
      </w:r>
      <w:r/>
    </w:p>
    <w:p>
      <w:pPr>
        <w:pStyle w:val="656"/>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656"/>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56"/>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656"/>
        <w:ind w:firstLine="480"/>
        <w:rPr>
          <w:rFonts w:hint="eastAsia" w:ascii="宋体" w:hAnsi="宋体" w:cs="宋体"/>
          <w:sz w:val="24"/>
          <w:szCs w:val="24"/>
        </w:rPr>
      </w:pPr>
      <w:r>
        <w:rPr>
          <w:rFonts w:ascii="宋体" w:hAnsi="宋体" w:cs="宋体"/>
          <w:sz w:val="24"/>
          <w:szCs w:val="24"/>
        </w:rPr>
        <w:t xml:space="preserve">（1）交付时间：</w:t>
      </w:r>
      <w:r>
        <w:rPr>
          <w:rFonts w:hint="eastAsia" w:ascii="宋体" w:hAnsi="宋体" w:cs="宋体"/>
          <w:sz w:val="24"/>
          <w:szCs w:val="24"/>
        </w:rPr>
        <w:t xml:space="preserve">合同签订后三个月完成系统基本功能开发，并开始试运行工作。后续三个月持续优化完善，在第七个月内完成项目整体交付工作。项目交付通过后进入30天试运行期，试运行期结束后需提供3年维保服务。</w:t>
      </w:r>
      <w:r>
        <w:rPr>
          <w:rFonts w:hint="eastAsia" w:ascii="宋体" w:hAnsi="宋体" w:cs="宋体"/>
          <w:sz w:val="24"/>
          <w:szCs w:val="24"/>
        </w:rPr>
      </w:r>
      <w:r/>
    </w:p>
    <w:p>
      <w:pPr>
        <w:pStyle w:val="656"/>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6"/>
        <w:ind w:firstLine="480"/>
        <w:spacing w:line="264" w:lineRule="auto"/>
        <w:rPr>
          <w:rFonts w:ascii="宋体" w:hAnsi="宋体" w:cs="宋体"/>
          <w:sz w:val="24"/>
          <w:szCs w:val="24"/>
        </w:rPr>
      </w:pPr>
      <w:r>
        <w:rPr>
          <w:rFonts w:ascii="宋体" w:hAnsi="宋体" w:cs="宋体"/>
          <w:sz w:val="24"/>
          <w:szCs w:val="24"/>
        </w:rPr>
        <w:t xml:space="preserve">以</w:t>
      </w:r>
      <w:r>
        <w:rPr>
          <w:rFonts w:hint="eastAsia" w:ascii="宋体" w:hAnsi="宋体" w:cs="宋体"/>
          <w:sz w:val="24"/>
          <w:szCs w:val="24"/>
        </w:rPr>
        <w:t xml:space="preserve">第三章</w:t>
      </w:r>
      <w:r>
        <w:rPr>
          <w:rFonts w:ascii="宋体" w:hAnsi="宋体" w:cs="宋体"/>
          <w:sz w:val="24"/>
          <w:szCs w:val="24"/>
        </w:rPr>
        <w:t xml:space="preserve">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rPr>
          <w:rFonts w:hint="eastAsia" w:ascii="宋体" w:hAnsi="宋体" w:cs="宋体"/>
          <w:sz w:val="24"/>
          <w:szCs w:val="24"/>
        </w:rPr>
      </w:r>
      <w:r/>
    </w:p>
    <w:p>
      <w:pPr>
        <w:pStyle w:val="656"/>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656"/>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rPr>
          <w:rFonts w:hint="eastAsia" w:ascii="宋体" w:hAnsi="宋体" w:cs="宋体"/>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单个文件不得大于50M，所有文件合计不得大于300M）。文件上传方式见苏采云系统操作指南，上传的演示视频将作为投标文件的组成部分。视频时长总计不超过15分钟。</w:t>
      </w:r>
      <w:r>
        <w:rPr>
          <w:rFonts w:hint="eastAsia" w:ascii="宋体" w:hAnsi="宋体" w:cs="宋体"/>
          <w:sz w:val="24"/>
          <w:szCs w:val="24"/>
        </w:rPr>
      </w:r>
      <w:r/>
    </w:p>
    <w:p>
      <w:pPr>
        <w:pStyle w:val="656"/>
        <w:ind w:firstLine="480"/>
        <w:spacing w:line="264" w:lineRule="auto"/>
        <w:rPr>
          <w:rFonts w:hint="eastAsia" w:ascii="宋体" w:hAnsi="宋体"/>
          <w:sz w:val="24"/>
          <w:szCs w:val="24"/>
        </w:rPr>
      </w:pPr>
      <w:r>
        <w:rPr>
          <w:rFonts w:hint="eastAsia" w:ascii="宋体" w:hAnsi="宋体"/>
          <w:sz w:val="24"/>
          <w:szCs w:val="24"/>
        </w:rPr>
        <w:t xml:space="preserve">2.演示内容详见“第五章  评标方法与评标标准”。</w:t>
      </w:r>
      <w:r>
        <w:rPr>
          <w:rFonts w:hint="eastAsia" w:ascii="宋体" w:hAnsi="宋体"/>
          <w:sz w:val="24"/>
          <w:szCs w:val="24"/>
        </w:rPr>
      </w:r>
      <w:r/>
    </w:p>
    <w:p>
      <w:pPr>
        <w:pStyle w:val="735"/>
        <w:ind w:left="0"/>
        <w:rPr>
          <w:rFonts w:hint="eastAsia" w:ascii="宋体" w:hAnsi="宋体" w:eastAsia="宋体"/>
          <w:sz w:val="24"/>
          <w:szCs w:val="24"/>
        </w:rPr>
      </w:pPr>
      <w:r>
        <w:rPr>
          <w:rFonts w:hint="eastAsia" w:ascii="宋体" w:hAnsi="宋体" w:eastAsia="宋体"/>
          <w:sz w:val="24"/>
          <w:szCs w:val="24"/>
        </w:rPr>
      </w:r>
      <w:r/>
    </w:p>
    <w:p>
      <w:pPr>
        <w:pStyle w:val="656"/>
        <w:rPr>
          <w:rFonts w:hint="eastAsia"/>
        </w:rPr>
      </w:pPr>
      <w:r>
        <w:rPr>
          <w:rFonts w:hint="eastAsia"/>
        </w:rPr>
      </w:r>
      <w:r/>
    </w:p>
    <w:p>
      <w:pPr>
        <w:pStyle w:val="735"/>
        <w:rPr>
          <w:rFonts w:hint="eastAsia" w:ascii="宋体" w:hAnsi="宋体" w:eastAsia="宋体"/>
          <w:sz w:val="24"/>
          <w:szCs w:val="24"/>
        </w:rPr>
      </w:pPr>
      <w:r>
        <w:rPr>
          <w:rFonts w:hint="eastAsia" w:ascii="宋体" w:hAnsi="宋体" w:eastAsia="宋体"/>
          <w:sz w:val="24"/>
          <w:szCs w:val="24"/>
        </w:rPr>
      </w:r>
      <w:r/>
    </w:p>
    <w:p>
      <w:pPr>
        <w:pStyle w:val="656"/>
        <w:rPr>
          <w:rFonts w:hint="eastAsia" w:ascii="宋体" w:hAnsi="宋体" w:cs="宋体"/>
          <w:sz w:val="24"/>
          <w:szCs w:val="24"/>
        </w:rPr>
      </w:pPr>
      <w:r>
        <w:rPr>
          <w:rFonts w:hint="eastAsia" w:ascii="宋体" w:hAnsi="宋体" w:cs="宋体"/>
          <w:sz w:val="24"/>
          <w:szCs w:val="24"/>
        </w:rPr>
      </w:r>
      <w:r/>
    </w:p>
    <w:p>
      <w:pPr>
        <w:pStyle w:val="735"/>
        <w:rPr>
          <w:rFonts w:hint="eastAsia" w:ascii="宋体" w:hAnsi="宋体" w:eastAsia="宋体"/>
          <w:sz w:val="24"/>
          <w:szCs w:val="24"/>
        </w:rPr>
      </w:pPr>
      <w:r>
        <w:rPr>
          <w:rFonts w:hint="eastAsia" w:ascii="宋体" w:hAnsi="宋体" w:eastAsia="宋体"/>
          <w:sz w:val="24"/>
          <w:szCs w:val="24"/>
        </w:rPr>
      </w:r>
      <w:r/>
    </w:p>
    <w:p>
      <w:pPr>
        <w:pStyle w:val="656"/>
        <w:rPr>
          <w:rFonts w:hint="eastAsia" w:ascii="宋体" w:hAnsi="宋体" w:cs="宋体"/>
          <w:sz w:val="24"/>
          <w:szCs w:val="24"/>
        </w:rPr>
      </w:pPr>
      <w:r>
        <w:rPr>
          <w:rFonts w:hint="eastAsia" w:ascii="宋体" w:hAnsi="宋体" w:cs="宋体"/>
          <w:sz w:val="24"/>
          <w:szCs w:val="24"/>
        </w:rPr>
      </w:r>
      <w:r/>
    </w:p>
    <w:p>
      <w:pPr>
        <w:pStyle w:val="735"/>
        <w:rPr>
          <w:rFonts w:hint="eastAsia" w:ascii="宋体" w:hAnsi="宋体" w:eastAsia="宋体"/>
          <w:sz w:val="24"/>
          <w:szCs w:val="24"/>
        </w:rPr>
      </w:pPr>
      <w:r>
        <w:rPr>
          <w:rFonts w:hint="eastAsia" w:ascii="宋体" w:hAnsi="宋体" w:eastAsia="宋体"/>
          <w:sz w:val="24"/>
          <w:szCs w:val="24"/>
        </w:rPr>
      </w:r>
      <w:r/>
    </w:p>
    <w:p>
      <w:pPr>
        <w:pStyle w:val="656"/>
        <w:rPr>
          <w:rFonts w:hint="eastAsia"/>
        </w:rPr>
      </w:pPr>
      <w:r>
        <w:rPr>
          <w:rFonts w:hint="eastAsia"/>
        </w:rPr>
      </w:r>
      <w:r/>
    </w:p>
    <w:p>
      <w:pPr>
        <w:pStyle w:val="735"/>
        <w:rPr>
          <w:rFonts w:hint="eastAsia"/>
        </w:rPr>
      </w:pPr>
      <w:r>
        <w:rPr>
          <w:rFonts w:hint="eastAsia"/>
        </w:rPr>
      </w:r>
      <w:r/>
    </w:p>
    <w:p>
      <w:pPr>
        <w:pStyle w:val="656"/>
        <w:rPr>
          <w:rFonts w:hint="eastAsia"/>
        </w:rPr>
      </w:pPr>
      <w:r>
        <w:rPr>
          <w:rFonts w:hint="eastAsia"/>
        </w:rPr>
      </w:r>
      <w:r/>
    </w:p>
    <w:p>
      <w:pPr>
        <w:pStyle w:val="735"/>
        <w:rPr>
          <w:rFonts w:hint="eastAsia"/>
        </w:rPr>
      </w:pPr>
      <w:r>
        <w:rPr>
          <w:rFonts w:hint="eastAsia"/>
        </w:rPr>
      </w:r>
      <w:r/>
    </w:p>
    <w:p>
      <w:pPr>
        <w:pStyle w:val="656"/>
        <w:rPr>
          <w:rFonts w:hint="eastAsia"/>
        </w:rPr>
      </w:pPr>
      <w:r>
        <w:rPr>
          <w:rFonts w:hint="eastAsia"/>
        </w:rPr>
      </w:r>
      <w:r/>
    </w:p>
    <w:p>
      <w:pPr>
        <w:pStyle w:val="735"/>
        <w:rPr>
          <w:rFonts w:hint="eastAsia"/>
        </w:rPr>
      </w:pPr>
      <w:r>
        <w:rPr>
          <w:rFonts w:hint="eastAsia"/>
        </w:rPr>
      </w:r>
      <w:r/>
    </w:p>
    <w:p>
      <w:pPr>
        <w:pStyle w:val="656"/>
        <w:rPr>
          <w:rFonts w:hint="eastAsia"/>
        </w:rPr>
      </w:pPr>
      <w:r>
        <w:rPr>
          <w:rFonts w:hint="eastAsia"/>
        </w:rPr>
      </w:r>
      <w:r/>
    </w:p>
    <w:p>
      <w:pPr>
        <w:pStyle w:val="726"/>
        <w:ind w:firstLine="640"/>
        <w:rPr>
          <w:rFonts w:hint="eastAsia"/>
        </w:rPr>
      </w:pPr>
      <w:r>
        <w:rPr>
          <w:rFonts w:hint="eastAsia"/>
        </w:rPr>
      </w:r>
      <w:r/>
    </w:p>
    <w:p>
      <w:pPr>
        <w:pStyle w:val="656"/>
        <w:rPr>
          <w:rFonts w:hint="eastAsia"/>
        </w:rPr>
      </w:pPr>
      <w:r>
        <w:rPr>
          <w:rFonts w:hint="eastAsia"/>
        </w:rPr>
      </w:r>
      <w:r/>
    </w:p>
    <w:p>
      <w:pPr>
        <w:pStyle w:val="726"/>
        <w:ind w:firstLine="640"/>
        <w:rPr>
          <w:rFonts w:hint="eastAsia"/>
        </w:rPr>
      </w:pPr>
      <w:r>
        <w:rPr>
          <w:rFonts w:hint="eastAsia"/>
        </w:rPr>
      </w:r>
      <w:r/>
    </w:p>
    <w:p>
      <w:pPr>
        <w:pStyle w:val="656"/>
        <w:rPr>
          <w:rFonts w:hint="eastAsia"/>
        </w:rPr>
      </w:pPr>
      <w:r>
        <w:rPr>
          <w:rFonts w:hint="eastAsia"/>
        </w:rPr>
      </w:r>
      <w:r/>
    </w:p>
    <w:p>
      <w:pPr>
        <w:pStyle w:val="726"/>
        <w:ind w:firstLine="640"/>
        <w:rPr>
          <w:rFonts w:hint="eastAsia"/>
        </w:rPr>
      </w:pPr>
      <w:r>
        <w:rPr>
          <w:rFonts w:hint="eastAsia"/>
        </w:rPr>
      </w:r>
      <w:r/>
    </w:p>
    <w:p>
      <w:pPr>
        <w:pStyle w:val="735"/>
        <w:ind w:left="0"/>
        <w:rPr>
          <w:rFonts w:hint="eastAsia"/>
        </w:rPr>
      </w:pPr>
      <w:r>
        <w:rPr>
          <w:rFonts w:hint="eastAsia"/>
        </w:rPr>
      </w:r>
      <w:r/>
    </w:p>
    <w:p>
      <w:pPr>
        <w:pStyle w:val="656"/>
        <w:rPr>
          <w:rFonts w:hint="eastAsia"/>
        </w:rPr>
      </w:pPr>
      <w:r>
        <w:rPr>
          <w:rFonts w:hint="eastAsia"/>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bookmarkStart w:id="236"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56"/>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6"/>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56"/>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-2.6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656"/>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656"/>
        <w:ind w:firstLine="480"/>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656"/>
        <w:ind w:firstLine="480"/>
        <w:rPr>
          <w:rFonts w:hint="eastAsia"/>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rPr>
      </w:r>
      <w:r/>
    </w:p>
    <w:p>
      <w:pPr>
        <w:pStyle w:val="656"/>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330"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647"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900"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460"/>
        </w:trPr>
        <w:tc>
          <w:tcPr>
            <w:gridSpan w:val="5"/>
            <w:tcW w:w="9575" w:type="dxa"/>
            <w:vAlign w:val="top"/>
            <w:textDirection w:val="lrTb"/>
            <w:noWrap w:val="false"/>
          </w:tcPr>
          <w:p>
            <w:pPr>
              <w:pStyle w:val="656"/>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519" w:type="dxa"/>
            <w:vAlign w:val="center"/>
            <w:textDirection w:val="lrTb"/>
            <w:noWrap w:val="false"/>
          </w:tcPr>
          <w:p>
            <w:pPr>
              <w:pStyle w:val="656"/>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656"/>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656"/>
              <w:jc w:val="left"/>
              <w:spacing w:line="264" w:lineRule="auto"/>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00"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656"/>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656"/>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656"/>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W w:w="6330" w:type="dxa"/>
            <w:vAlign w:val="center"/>
            <w:textDirection w:val="lrTb"/>
            <w:noWrap w:val="false"/>
          </w:tcPr>
          <w:p>
            <w:pPr>
              <w:pStyle w:val="656"/>
              <w:jc w:val="left"/>
              <w:spacing w:line="264" w:lineRule="auto"/>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w:t>
            </w:r>
            <w:r>
              <w:rPr>
                <w:rFonts w:ascii="宋体" w:hAnsi="宋体" w:cs="宋体"/>
              </w:rPr>
              <w:t xml:space="preserve">打★指标为必须满足项，如有负偏离将作为无效投标</w:t>
            </w:r>
            <w:r>
              <w:rPr>
                <w:rFonts w:hint="eastAsia" w:ascii="宋体" w:hAnsi="宋体" w:cs="宋体"/>
              </w:rPr>
              <w:t xml:space="preserve">，</w:t>
            </w:r>
            <w:r>
              <w:rPr>
                <w:rFonts w:ascii="宋体" w:hAnsi="宋体" w:cs="宋体"/>
              </w:rPr>
              <w:t xml:space="preserve">打▲指标为重要指标，有</w:t>
            </w:r>
            <w:r>
              <w:rPr>
                <w:rFonts w:hint="eastAsia" w:ascii="宋体" w:hAnsi="宋体" w:cs="宋体"/>
              </w:rPr>
              <w:t xml:space="preserve">1</w:t>
            </w:r>
            <w:r>
              <w:rPr>
                <w:rFonts w:ascii="宋体" w:hAnsi="宋体" w:cs="宋体"/>
              </w:rPr>
              <w:t xml:space="preserve">项负偏离扣2分</w:t>
            </w:r>
            <w:r>
              <w:rPr>
                <w:rFonts w:hint="eastAsia" w:ascii="宋体" w:hAnsi="宋体" w:cs="宋体"/>
              </w:rPr>
              <w:t xml:space="preserve">，</w:t>
            </w:r>
            <w:r>
              <w:rPr>
                <w:rFonts w:ascii="宋体" w:hAnsi="宋体" w:cs="宋体"/>
              </w:rPr>
              <w:t xml:space="preserve">其余指标有</w:t>
            </w:r>
            <w:r>
              <w:rPr>
                <w:rFonts w:hint="eastAsia" w:ascii="宋体" w:hAnsi="宋体" w:cs="宋体"/>
              </w:rPr>
              <w:t xml:space="preserve">1</w:t>
            </w:r>
            <w:r>
              <w:rPr>
                <w:rFonts w:ascii="宋体" w:hAnsi="宋体" w:cs="宋体"/>
              </w:rPr>
              <w:t xml:space="preserve">项负偏离扣1分，</w:t>
            </w:r>
            <w:r>
              <w:rPr>
                <w:rFonts w:hint="eastAsia"/>
              </w:rPr>
              <w:t xml:space="preserve">最低得0分</w:t>
            </w:r>
            <w:r>
              <w:rPr>
                <w:rFonts w:ascii="宋体" w:hAnsi="宋体" w:cs="宋体"/>
              </w:rPr>
              <w:t xml:space="preserve">。</w:t>
            </w: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00"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656"/>
              <w:spacing w:line="264" w:lineRule="auto"/>
              <w:rPr>
                <w:rFonts w:hint="eastAsia"/>
                <w:color w:val="0000ff"/>
              </w:rPr>
            </w:pPr>
            <w:r>
              <w:rPr>
                <w:rFonts w:hint="eastAsia"/>
              </w:rPr>
              <w:t xml:space="preserve">需求理解</w:t>
            </w:r>
            <w:r>
              <w:rPr>
                <w:rFonts w:hint="eastAsia"/>
                <w:color w:val="0000ff"/>
              </w:rPr>
            </w:r>
            <w:r/>
          </w:p>
        </w:tc>
        <w:tc>
          <w:tcPr>
            <w:tcW w:w="6330" w:type="dxa"/>
            <w:vAlign w:val="center"/>
            <w:textDirection w:val="lrTb"/>
            <w:noWrap w:val="false"/>
          </w:tcPr>
          <w:p>
            <w:pPr>
              <w:pStyle w:val="656"/>
            </w:pPr>
            <w:r>
              <w:rPr>
                <w:rFonts w:hint="eastAsia"/>
              </w:rPr>
              <w:t xml:space="preserve">根据本项目采购需求中“实施要求”编制方案，内容包含：1.</w:t>
            </w:r>
            <w:r>
              <w:rPr>
                <w:rFonts w:hint="eastAsia" w:ascii="宋体" w:hAnsi="宋体" w:cs="宋体"/>
              </w:rPr>
              <w:t xml:space="preserve">业务需求分析</w:t>
            </w:r>
            <w:r>
              <w:rPr>
                <w:rFonts w:hint="eastAsia"/>
              </w:rPr>
              <w:t xml:space="preserve">；2.</w:t>
            </w:r>
            <w:r>
              <w:rPr>
                <w:rFonts w:ascii="宋体" w:hAnsi="宋体" w:cs="宋体"/>
              </w:rPr>
              <w:t xml:space="preserve">建设目标</w:t>
            </w:r>
            <w:r>
              <w:rPr>
                <w:rFonts w:hint="eastAsia" w:ascii="宋体" w:hAnsi="宋体" w:cs="宋体"/>
              </w:rPr>
              <w:t xml:space="preserve">分析</w:t>
            </w:r>
            <w:r>
              <w:rPr>
                <w:rFonts w:hint="eastAsia"/>
              </w:rPr>
              <w:t xml:space="preserve">；3.</w:t>
            </w:r>
            <w:r>
              <w:rPr>
                <w:rFonts w:ascii="宋体" w:hAnsi="宋体" w:cs="宋体"/>
              </w:rPr>
              <w:t xml:space="preserve">建设依据、必要性</w:t>
            </w:r>
            <w:r>
              <w:rPr>
                <w:rFonts w:hint="eastAsia" w:ascii="宋体" w:hAnsi="宋体" w:cs="宋体"/>
              </w:rPr>
              <w:t xml:space="preserve">分析</w:t>
            </w:r>
            <w:r>
              <w:rPr>
                <w:rFonts w:hint="eastAsia"/>
              </w:rPr>
              <w:t xml:space="preserve">；4.</w:t>
            </w:r>
            <w:r>
              <w:rPr>
                <w:rFonts w:ascii="宋体" w:hAnsi="宋体" w:cs="宋体"/>
              </w:rPr>
              <w:t xml:space="preserve">重点难点</w:t>
            </w:r>
            <w:r>
              <w:rPr>
                <w:rFonts w:hint="eastAsia" w:ascii="宋体" w:hAnsi="宋体" w:cs="宋体"/>
              </w:rPr>
              <w:t xml:space="preserve">分析</w:t>
            </w:r>
            <w:r>
              <w:rPr>
                <w:rFonts w:hint="eastAsia"/>
              </w:rPr>
              <w:t xml:space="preserve">。以上每项内容逐项评分：</w:t>
            </w:r>
            <w:r/>
          </w:p>
          <w:p>
            <w:pPr>
              <w:pStyle w:val="656"/>
            </w:pPr>
            <w:r>
              <w:t xml:space="preserve">方案内容</w:t>
            </w:r>
            <w:r>
              <w:rPr>
                <w:rFonts w:ascii="宋体" w:hAnsi="宋体" w:cs="宋体"/>
              </w:rPr>
              <w:t xml:space="preserve">完整深刻、针对性强、紧贴采购需求的</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656"/>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W w:w="519" w:type="dxa"/>
            <w:vAlign w:val="center"/>
            <w:textDirection w:val="lrTb"/>
            <w:noWrap w:val="false"/>
          </w:tcPr>
          <w:p>
            <w:pPr>
              <w:pStyle w:val="656"/>
              <w:jc w:val="center"/>
              <w:spacing w:before="68" w:line="264" w:lineRule="auto"/>
              <w:rPr>
                <w:rFonts w:hint="eastAsia" w:ascii="宋体" w:hAnsi="宋体" w:cs="宋体"/>
                <w:spacing w:val="-2"/>
              </w:rPr>
            </w:pPr>
            <w:r>
              <w:rPr>
                <w:rFonts w:hint="eastAsia" w:ascii="宋体" w:hAnsi="宋体" w:cs="宋体"/>
                <w:spacing w:val="-2"/>
              </w:rPr>
              <w:t xml:space="preserve">2.3</w:t>
            </w:r>
            <w:r>
              <w:rPr>
                <w:rFonts w:hint="eastAsia" w:ascii="宋体" w:hAnsi="宋体" w:cs="宋体"/>
                <w:spacing w:val="-2"/>
              </w:rPr>
            </w:r>
            <w:r/>
          </w:p>
        </w:tc>
        <w:tc>
          <w:tcPr>
            <w:tcW w:w="1179" w:type="dxa"/>
            <w:vAlign w:val="center"/>
            <w:textDirection w:val="lrTb"/>
            <w:noWrap w:val="false"/>
          </w:tcPr>
          <w:p>
            <w:pPr>
              <w:pStyle w:val="656"/>
              <w:spacing w:line="264" w:lineRule="auto"/>
              <w:rPr>
                <w:rFonts w:hint="eastAsia"/>
                <w:color w:val="0000ff"/>
              </w:rPr>
            </w:pPr>
            <w:r>
              <w:rPr>
                <w:rFonts w:hint="eastAsia"/>
              </w:rPr>
              <w:t xml:space="preserve">总体技术方案</w:t>
            </w:r>
            <w:r>
              <w:rPr>
                <w:rFonts w:hint="eastAsia"/>
                <w:color w:val="0000ff"/>
              </w:rPr>
            </w:r>
            <w:r/>
          </w:p>
        </w:tc>
        <w:tc>
          <w:tcPr>
            <w:tcW w:w="6330" w:type="dxa"/>
            <w:vAlign w:val="center"/>
            <w:textDirection w:val="lrTb"/>
            <w:noWrap w:val="false"/>
          </w:tcPr>
          <w:p>
            <w:pPr>
              <w:pStyle w:val="656"/>
              <w:jc w:val="left"/>
              <w:spacing w:line="264" w:lineRule="auto"/>
              <w:widowControl/>
              <w:rPr>
                <w:rFonts w:ascii="宋体" w:hAnsi="宋体" w:cs="宋体"/>
              </w:rPr>
            </w:pPr>
            <w:r>
              <w:rPr>
                <w:rFonts w:ascii="宋体" w:hAnsi="宋体" w:cs="宋体"/>
              </w:rPr>
              <w:t xml:space="preserve">根据本项目采购需求中“</w:t>
            </w:r>
            <w:r>
              <w:rPr>
                <w:rFonts w:hint="eastAsia" w:ascii="宋体" w:hAnsi="宋体" w:cs="宋体"/>
              </w:rPr>
              <w:t xml:space="preserve">技术</w:t>
            </w:r>
            <w:r>
              <w:rPr>
                <w:rFonts w:ascii="宋体" w:hAnsi="宋体" w:cs="宋体"/>
              </w:rPr>
              <w:t xml:space="preserve">要求”编制方案，内容包含：1.总体架构和性能设计；2.技术路线和业务逻辑流程设计；3用户界面和应用功能设计；4.系统部署和安全防护设计。以上每项内容逐项评分：</w:t>
            </w:r>
            <w:r>
              <w:rPr>
                <w:rFonts w:ascii="宋体" w:hAnsi="宋体" w:cs="宋体"/>
              </w:rPr>
            </w:r>
            <w:r/>
          </w:p>
          <w:p>
            <w:pPr>
              <w:pStyle w:val="656"/>
              <w:jc w:val="left"/>
              <w:spacing w:line="264" w:lineRule="auto"/>
              <w:widowControl/>
              <w:rPr>
                <w:rFonts w:ascii="宋体" w:hAnsi="宋体" w:cs="宋体"/>
              </w:rPr>
            </w:pPr>
            <w:r>
              <w:rPr>
                <w:rFonts w:ascii="宋体" w:hAnsi="宋体" w:cs="宋体"/>
              </w:rPr>
              <w:t xml:space="preserve">方案内容设计思路科学、前瞻性、技术先进可行</w:t>
            </w:r>
            <w:r>
              <w:rPr>
                <w:rFonts w:hint="eastAsia" w:ascii="宋体" w:hAnsi="宋体" w:cs="宋体"/>
              </w:rPr>
              <w:t xml:space="preserve">、</w:t>
            </w:r>
            <w:r>
              <w:rPr>
                <w:rFonts w:ascii="宋体" w:hAnsi="宋体" w:cs="宋体"/>
              </w:rPr>
              <w:t xml:space="preserve">紧贴采购需求的，且专门针对本项目，契合采购需求视为符合；方案内容属于通用类，非专门针对本项目，部分契合采购需求视为部分符合；方案内容非专门针对本项目，脱离采购需求视为不符合。</w:t>
            </w:r>
            <w:r>
              <w:rPr>
                <w:rFonts w:ascii="宋体" w:hAnsi="宋体" w:cs="宋体"/>
              </w:rPr>
            </w:r>
            <w:r/>
          </w:p>
          <w:p>
            <w:pPr>
              <w:pStyle w:val="656"/>
              <w:jc w:val="left"/>
              <w:spacing w:line="264" w:lineRule="auto"/>
              <w:widowControl/>
              <w:rPr>
                <w:rFonts w:ascii="宋体" w:hAnsi="宋体" w:cs="宋体"/>
              </w:rPr>
            </w:pPr>
            <w:r>
              <w:rPr>
                <w:rFonts w:ascii="宋体" w:hAnsi="宋体" w:cs="宋体"/>
              </w:rPr>
              <w:t xml:space="preserve">上述每项内容符合得1分；部分符合得0.5分；不符合或不提供不得分。</w:t>
            </w:r>
            <w:r>
              <w:rPr>
                <w:rFonts w:ascii="宋体" w:hAnsi="宋体" w:cs="宋体"/>
              </w:rPr>
            </w:r>
            <w:r/>
            <w:r>
              <w:rPr>
                <w:rFonts w:ascii="宋体" w:hAnsi="宋体" w:cs="宋体"/>
              </w:rPr>
            </w:r>
            <w:r/>
            <w:r>
              <w:rPr>
                <w:rFonts w:ascii="宋体" w:hAnsi="宋体" w:cs="宋体"/>
              </w:rPr>
            </w:r>
          </w:p>
        </w:tc>
        <w:tc>
          <w:tcPr>
            <w:tcW w:w="647"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2676"/>
        </w:trPr>
        <w:tc>
          <w:tcPr>
            <w:tcW w:w="519" w:type="dxa"/>
            <w:vAlign w:val="center"/>
            <w:textDirection w:val="lrTb"/>
            <w:noWrap w:val="false"/>
          </w:tcPr>
          <w:p>
            <w:pPr>
              <w:pStyle w:val="656"/>
              <w:jc w:val="center"/>
              <w:spacing w:line="264" w:lineRule="auto"/>
              <w:rPr>
                <w:rFonts w:ascii="宋体" w:hAnsi="宋体" w:cs="宋体"/>
              </w:rPr>
            </w:pPr>
            <w:r>
              <w:rPr>
                <w:rFonts w:hint="eastAsia" w:ascii="宋体" w:hAnsi="宋体" w:cs="宋体"/>
              </w:rPr>
              <w:t xml:space="preserve">2.4</w:t>
            </w:r>
            <w:r>
              <w:rPr>
                <w:rFonts w:ascii="宋体" w:hAnsi="宋体" w:cs="宋体"/>
              </w:rPr>
            </w:r>
            <w:r/>
          </w:p>
        </w:tc>
        <w:tc>
          <w:tcPr>
            <w:tcW w:w="1179" w:type="dxa"/>
            <w:vAlign w:val="center"/>
            <w:textDirection w:val="lrTb"/>
            <w:noWrap w:val="false"/>
          </w:tcPr>
          <w:p>
            <w:pPr>
              <w:pStyle w:val="656"/>
              <w:spacing w:line="264" w:lineRule="auto"/>
              <w:rPr>
                <w:rFonts w:hint="eastAsia"/>
                <w:color w:val="0000ff"/>
              </w:rPr>
            </w:pPr>
            <w:r>
              <w:rPr>
                <w:rFonts w:hint="eastAsia"/>
              </w:rPr>
              <w:t xml:space="preserve">项目实施方案</w:t>
            </w:r>
            <w:r>
              <w:rPr>
                <w:rFonts w:hint="eastAsia"/>
                <w:color w:val="0000ff"/>
              </w:rPr>
            </w:r>
            <w:r/>
          </w:p>
        </w:tc>
        <w:tc>
          <w:tcPr>
            <w:tcW w:w="6330" w:type="dxa"/>
            <w:vAlign w:val="center"/>
            <w:textDirection w:val="lrTb"/>
            <w:noWrap w:val="false"/>
          </w:tcPr>
          <w:p>
            <w:pPr>
              <w:pStyle w:val="656"/>
              <w:jc w:val="left"/>
              <w:spacing w:line="264" w:lineRule="auto"/>
              <w:widowControl/>
            </w:pPr>
            <w:r>
              <w:t xml:space="preserve">根据本项目采购需求中“实施要求”编制方案，内容包含：1.实施组织架构；2.实施部署方案；3安装调试方案；4.质量保障方案。以上每项内容逐项评分：</w:t>
            </w:r>
            <w:r/>
          </w:p>
          <w:p>
            <w:pPr>
              <w:pStyle w:val="656"/>
              <w:jc w:val="left"/>
              <w:spacing w:line="264" w:lineRule="auto"/>
              <w:widowControl/>
            </w:pPr>
            <w:r>
              <w:t xml:space="preserve">方案内容完整深刻、针对性强、紧贴采购需求的，且专门针对本项目，契合采购需求视为符合；方案内容属于通用类，非专门针对本项目，部分契合采购需求视为部分符合；方案内容非专门针对本项目，脱离采购需求视为不符合。</w:t>
            </w:r>
            <w:r/>
          </w:p>
          <w:p>
            <w:pPr>
              <w:pStyle w:val="656"/>
              <w:jc w:val="left"/>
              <w:spacing w:line="264" w:lineRule="auto"/>
              <w:widowControl/>
            </w:pPr>
            <w:r>
              <w:t xml:space="preserve">上述每项内容符合得1分；部分符合得0.5分；不符合或不提供不得分。</w:t>
            </w:r>
            <w:r/>
            <w:r/>
            <w: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4"/>
              </w:rPr>
              <w:t xml:space="preserve">主观分</w:t>
            </w:r>
            <w:r>
              <w:rPr>
                <w:rFonts w:ascii="宋体" w:hAnsi="宋体" w:cs="宋体"/>
                <w:spacing w:val="-6"/>
              </w:rPr>
            </w:r>
            <w:r/>
          </w:p>
        </w:tc>
      </w:tr>
      <w:tr>
        <w:trPr>
          <w:trHeight w:val="889"/>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2.5</w:t>
            </w:r>
            <w:r>
              <w:rPr>
                <w:rFonts w:ascii="宋体" w:hAnsi="宋体" w:cs="宋体"/>
                <w:spacing w:val="-2"/>
              </w:rPr>
            </w:r>
            <w:r/>
          </w:p>
        </w:tc>
        <w:tc>
          <w:tcPr>
            <w:tcW w:w="1179" w:type="dxa"/>
            <w:vAlign w:val="center"/>
            <w:textDirection w:val="lrTb"/>
            <w:noWrap w:val="false"/>
          </w:tcPr>
          <w:p>
            <w:pPr>
              <w:pStyle w:val="656"/>
              <w:spacing w:line="264" w:lineRule="auto"/>
              <w:rPr>
                <w:color w:val="0000ff"/>
              </w:rPr>
            </w:pPr>
            <w:r>
              <w:rPr>
                <w:rFonts w:hint="eastAsia"/>
              </w:rPr>
              <w:t xml:space="preserve">功能设计方案</w:t>
            </w:r>
            <w:r>
              <w:rPr>
                <w:color w:val="0000ff"/>
              </w:rPr>
            </w:r>
            <w:r/>
          </w:p>
        </w:tc>
        <w:tc>
          <w:tcPr>
            <w:tcW w:w="6330" w:type="dxa"/>
            <w:vAlign w:val="center"/>
            <w:textDirection w:val="lrTb"/>
            <w:noWrap w:val="false"/>
          </w:tcPr>
          <w:p>
            <w:pPr>
              <w:pStyle w:val="656"/>
              <w:jc w:val="left"/>
              <w:spacing w:line="264" w:lineRule="auto"/>
              <w:widowControl/>
              <w:rPr>
                <w:rFonts w:ascii="宋体" w:hAnsi="宋体" w:cs="宋体"/>
              </w:rPr>
            </w:pPr>
            <w:r>
              <w:rPr>
                <w:rFonts w:ascii="宋体" w:hAnsi="宋体" w:cs="宋体"/>
              </w:rPr>
              <w:t xml:space="preserve">根据本项目采购需求中“</w:t>
            </w:r>
            <w:r>
              <w:rPr>
                <w:rFonts w:hint="eastAsia" w:ascii="宋体" w:hAnsi="宋体" w:cs="宋体"/>
              </w:rPr>
              <w:t xml:space="preserve">技术</w:t>
            </w:r>
            <w:r>
              <w:rPr>
                <w:rFonts w:ascii="宋体" w:hAnsi="宋体" w:cs="宋体"/>
              </w:rPr>
              <w:t xml:space="preserve">要求”编制方案，内容包含：1.业务流程设计；2.功能模块设计；3</w:t>
            </w:r>
            <w:r>
              <w:rPr>
                <w:rFonts w:hint="eastAsia" w:ascii="宋体" w:hAnsi="宋体" w:cs="宋体"/>
              </w:rPr>
              <w:t xml:space="preserve">.界面</w:t>
            </w:r>
            <w:r>
              <w:rPr>
                <w:rFonts w:ascii="宋体" w:hAnsi="宋体" w:cs="宋体"/>
              </w:rPr>
              <w:t xml:space="preserve">设计。以上每项内容逐项评分：</w:t>
            </w:r>
            <w:r>
              <w:rPr>
                <w:rFonts w:ascii="宋体" w:hAnsi="宋体" w:cs="宋体"/>
              </w:rPr>
            </w:r>
            <w:r/>
          </w:p>
          <w:p>
            <w:pPr>
              <w:pStyle w:val="656"/>
              <w:jc w:val="left"/>
              <w:spacing w:line="264" w:lineRule="auto"/>
              <w:widowControl/>
              <w:rPr>
                <w:rFonts w:hint="eastAsia" w:ascii="宋体" w:hAnsi="宋体" w:cs="宋体"/>
              </w:rPr>
            </w:pPr>
            <w:r>
              <w:rPr>
                <w:rFonts w:ascii="宋体" w:hAnsi="宋体" w:cs="宋体"/>
              </w:rPr>
              <w:t xml:space="preserve">方案内容设计思路科学、前瞻性、可行性强、紧贴采购需求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t xml:space="preserve"> </w:t>
            </w:r>
            <w:r>
              <w:rPr>
                <w:rFonts w:hint="eastAsia" w:ascii="宋体" w:hAnsi="宋体" w:cs="宋体"/>
              </w:rPr>
            </w:r>
            <w:r/>
          </w:p>
          <w:p>
            <w:pPr>
              <w:pStyle w:val="656"/>
              <w:jc w:val="left"/>
              <w:spacing w:line="264" w:lineRule="auto"/>
              <w:widowControl/>
              <w:rPr>
                <w:rFonts w:ascii="宋体" w:hAnsi="宋体" w:cs="宋体"/>
              </w:rPr>
            </w:pPr>
            <w:r>
              <w:rPr>
                <w:rFonts w:ascii="宋体" w:hAnsi="宋体" w:cs="宋体"/>
              </w:rPr>
              <w:t xml:space="preserve">上述每项内容符合得2分；部分符合得1分；不符合或不提供不得分。</w:t>
            </w:r>
            <w:r>
              <w:rPr>
                <w:rFonts w:ascii="宋体" w:hAnsi="宋体" w:cs="宋体"/>
              </w:rPr>
            </w:r>
            <w:r/>
            <w:r>
              <w:rPr>
                <w:rFonts w:ascii="宋体" w:hAnsi="宋体" w:cs="宋体"/>
              </w:rPr>
            </w:r>
            <w:r/>
            <w:r>
              <w:rPr>
                <w:rFonts w:ascii="宋体" w:hAnsi="宋体" w:cs="宋体"/>
              </w:rPr>
            </w:r>
          </w:p>
        </w:tc>
        <w:tc>
          <w:tcPr>
            <w:tcW w:w="647" w:type="dxa"/>
            <w:vAlign w:val="center"/>
            <w:textDirection w:val="lrTb"/>
            <w:noWrap w:val="false"/>
          </w:tcPr>
          <w:p>
            <w:pPr>
              <w:pStyle w:val="656"/>
              <w:jc w:val="center"/>
              <w:spacing w:line="264" w:lineRule="auto"/>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656"/>
              <w:jc w:val="center"/>
              <w:spacing w:line="264" w:lineRule="auto"/>
              <w:rPr>
                <w:rFonts w:hint="eastAsia" w:ascii="宋体" w:hAnsi="宋体" w:cs="宋体"/>
              </w:rPr>
            </w:pPr>
            <w:r>
              <w:rPr>
                <w:rFonts w:hint="eastAsia" w:ascii="宋体" w:hAnsi="宋体" w:cs="宋体"/>
              </w:rPr>
              <w:t xml:space="preserve">主观分</w:t>
            </w:r>
            <w:r>
              <w:rPr>
                <w:rFonts w:hint="eastAsia" w:ascii="宋体" w:hAnsi="宋体" w:cs="宋体"/>
              </w:rPr>
            </w:r>
            <w:r/>
          </w:p>
        </w:tc>
      </w:tr>
      <w:tr>
        <w:trPr>
          <w:trHeight w:val="889"/>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2.6</w:t>
            </w:r>
            <w:r>
              <w:rPr>
                <w:rFonts w:ascii="宋体" w:hAnsi="宋体" w:cs="宋体"/>
                <w:spacing w:val="-2"/>
              </w:rPr>
            </w:r>
            <w:r/>
          </w:p>
        </w:tc>
        <w:tc>
          <w:tcPr>
            <w:tcW w:w="1179" w:type="dxa"/>
            <w:vAlign w:val="center"/>
            <w:textDirection w:val="lrTb"/>
            <w:noWrap w:val="false"/>
          </w:tcPr>
          <w:p>
            <w:pPr>
              <w:pStyle w:val="656"/>
              <w:spacing w:line="264" w:lineRule="auto"/>
              <w:rPr>
                <w:rFonts w:hint="eastAsia"/>
              </w:rPr>
            </w:pPr>
            <w:r>
              <w:rPr>
                <w:rFonts w:hint="eastAsia"/>
              </w:rPr>
              <w:t xml:space="preserve">视频演示</w:t>
            </w:r>
            <w:r>
              <w:rPr>
                <w:rFonts w:hint="eastAsia"/>
              </w:rPr>
            </w:r>
            <w:r/>
          </w:p>
        </w:tc>
        <w:tc>
          <w:tcPr>
            <w:tcW w:w="6330" w:type="dxa"/>
            <w:vAlign w:val="center"/>
            <w:textDirection w:val="lrTb"/>
            <w:noWrap w:val="false"/>
          </w:tcPr>
          <w:p>
            <w:pPr>
              <w:pStyle w:val="656"/>
              <w:jc w:val="left"/>
              <w:spacing w:line="264" w:lineRule="auto"/>
              <w:rPr>
                <w:rFonts w:hint="eastAsia"/>
              </w:rPr>
            </w:pPr>
            <w:r>
              <w:rPr>
                <w:rFonts w:hint="eastAsia"/>
              </w:rPr>
              <w:t xml:space="preserve">评委根据供应商提供的演示视频（总演示时间不超</w:t>
            </w:r>
            <w:r>
              <w:rPr>
                <w:rFonts w:hint="eastAsia" w:ascii="宋体" w:hAnsi="宋体" w:cs="宋体"/>
              </w:rPr>
              <w:t xml:space="preserve">过15分</w:t>
            </w:r>
            <w:r>
              <w:rPr>
                <w:rFonts w:hint="eastAsia"/>
              </w:rPr>
              <w:t xml:space="preserve">钟）综合评分。演示视频包括以下内容： </w:t>
            </w:r>
            <w:r>
              <w:rPr>
                <w:rFonts w:hint="eastAsia"/>
              </w:rPr>
            </w:r>
            <w:r/>
          </w:p>
          <w:p>
            <w:pPr>
              <w:pStyle w:val="656"/>
              <w:jc w:val="left"/>
              <w:spacing w:line="264" w:lineRule="auto"/>
              <w:rPr>
                <w:rFonts w:hint="eastAsia" w:ascii="宋体" w:hAnsi="宋体" w:cs="宋体"/>
              </w:rPr>
            </w:pPr>
            <w:r>
              <w:rPr>
                <w:rFonts w:hint="eastAsia" w:ascii="宋体" w:hAnsi="宋体" w:cs="宋体"/>
              </w:rPr>
              <w:t xml:space="preserve">（1）渣土治理全景驾驶舱功能：系统需展示基于GIS地图的渣土运输全貌监管，集成核心指标看板（在运车辆数、今日报警总数、审批办理中数量等），并支持在地图上实时展示车辆（正常/报警状态）、工地、土场的空间分布。</w:t>
            </w:r>
            <w:r>
              <w:rPr>
                <w:rFonts w:hint="eastAsia" w:ascii="宋体" w:hAnsi="宋体" w:cs="宋体"/>
              </w:rPr>
            </w:r>
            <w:r/>
          </w:p>
          <w:p>
            <w:pPr>
              <w:pStyle w:val="656"/>
              <w:jc w:val="left"/>
              <w:spacing w:line="264" w:lineRule="auto"/>
              <w:rPr>
                <w:rFonts w:hint="eastAsia" w:ascii="宋体" w:hAnsi="宋体" w:cs="宋体"/>
              </w:rPr>
            </w:pPr>
            <w:r>
              <w:rPr>
                <w:rFonts w:hint="eastAsia" w:ascii="宋体" w:hAnsi="宋体" w:cs="宋体"/>
              </w:rPr>
              <w:t xml:space="preserve">（2）运输路线偏移与电子围栏预警功能：演示在GIS地图上绘制审批路线电子围栏，当车辆在途运输过程中发生路线偏移、闯入禁行区域（如学校、居民区）或在非指定区域停留时，系统实时触发报警，并在地图上以闪烁图标展示报警车辆位置及轨迹的全过程。</w:t>
            </w:r>
            <w:r>
              <w:rPr>
                <w:rFonts w:hint="eastAsia" w:ascii="宋体" w:hAnsi="宋体" w:cs="宋体"/>
              </w:rPr>
            </w:r>
            <w:r/>
          </w:p>
          <w:p>
            <w:pPr>
              <w:pStyle w:val="656"/>
              <w:jc w:val="left"/>
              <w:spacing w:line="264" w:lineRule="auto"/>
              <w:rPr>
                <w:rFonts w:hint="eastAsia" w:ascii="宋体" w:hAnsi="宋体" w:cs="宋体"/>
              </w:rPr>
            </w:pPr>
            <w:r>
              <w:rPr>
                <w:rFonts w:hint="eastAsia" w:ascii="宋体" w:hAnsi="宋体" w:cs="宋体"/>
              </w:rPr>
              <w:t xml:space="preserve">（3）移动端周边车辆一键筛查功能：演示执法人员打开移动端APP，系统自动获取当前位置，点击“周边车辆”按钮，即可在地图上显示附近指定范围（如1公里）内所有在运渣土车，并列表展示车牌及违规状态。</w:t>
            </w:r>
            <w:r>
              <w:rPr>
                <w:rFonts w:hint="eastAsia" w:ascii="宋体" w:hAnsi="宋体" w:cs="宋体"/>
              </w:rPr>
            </w:r>
            <w:r/>
          </w:p>
          <w:p>
            <w:pPr>
              <w:pStyle w:val="656"/>
              <w:jc w:val="left"/>
              <w:spacing w:line="264" w:lineRule="auto"/>
              <w:rPr>
                <w:rFonts w:hint="eastAsia" w:ascii="宋体" w:hAnsi="宋体" w:cs="宋体"/>
              </w:rPr>
            </w:pPr>
            <w:r>
              <w:rPr>
                <w:rFonts w:hint="eastAsia" w:ascii="宋体" w:hAnsi="宋体" w:cs="宋体"/>
              </w:rPr>
              <w:t xml:space="preserve">（4）移动端现场拍照上报功能：执法人员在现场点击“随手拍”，拍摄违规车辆照片，系统自动获取并锁定拍摄时的地理位置和时间，自动生成一条违规线索记录。</w:t>
            </w:r>
            <w:r>
              <w:rPr>
                <w:rFonts w:hint="eastAsia" w:ascii="宋体" w:hAnsi="宋体" w:cs="宋体"/>
              </w:rPr>
            </w:r>
            <w:r/>
          </w:p>
          <w:p>
            <w:pPr>
              <w:pStyle w:val="656"/>
              <w:jc w:val="left"/>
              <w:spacing w:line="264" w:lineRule="auto"/>
              <w:rPr>
                <w:rFonts w:hint="eastAsia" w:ascii="宋体" w:hAnsi="宋体" w:cs="宋体"/>
              </w:rPr>
            </w:pPr>
            <w:r>
              <w:rPr>
                <w:rFonts w:hint="eastAsia" w:ascii="宋体" w:hAnsi="宋体" w:cs="宋体"/>
              </w:rPr>
              <w:t xml:space="preserve">（5）车辆轨迹简易回放功能：在查询页面输入车牌号和日期，点击“轨迹回放”，系统在地图上自动播放车辆的行驶路径，支持1倍、2倍、5倍速播放控制，直观展示车辆是否中途倾倒或绕行。</w:t>
            </w:r>
            <w:r>
              <w:rPr>
                <w:rFonts w:hint="eastAsia" w:ascii="宋体" w:hAnsi="宋体" w:cs="宋体"/>
              </w:rPr>
            </w:r>
            <w:r/>
          </w:p>
          <w:p>
            <w:pPr>
              <w:pStyle w:val="656"/>
              <w:jc w:val="left"/>
              <w:spacing w:line="264" w:lineRule="auto"/>
              <w:rPr>
                <w:rFonts w:hint="eastAsia" w:ascii="宋体" w:hAnsi="宋体" w:cs="宋体"/>
              </w:rPr>
            </w:pPr>
            <w:r>
              <w:rPr>
                <w:rFonts w:hint="eastAsia" w:ascii="宋体" w:hAnsi="宋体" w:cs="宋体"/>
              </w:rPr>
              <w:t xml:space="preserve">（6）实时视频与地图联动切换功能：演示在地图上点击某土场图标，右侧监控视频窗口自动切换并播放该土场出入口的实时高清画面，实现“图上查、画中看”。</w:t>
            </w:r>
            <w:r>
              <w:rPr>
                <w:rFonts w:hint="eastAsia" w:ascii="宋体" w:hAnsi="宋体" w:cs="宋体"/>
              </w:rPr>
            </w:r>
            <w:r/>
          </w:p>
          <w:p>
            <w:pPr>
              <w:pStyle w:val="656"/>
              <w:jc w:val="left"/>
              <w:spacing w:line="264" w:lineRule="auto"/>
              <w:rPr>
                <w:rFonts w:hint="eastAsia" w:ascii="宋体" w:hAnsi="宋体" w:cs="宋体"/>
              </w:rPr>
            </w:pPr>
            <w:r>
              <w:rPr>
                <w:rFonts w:hint="eastAsia" w:ascii="宋体" w:hAnsi="宋体" w:cs="宋体"/>
              </w:rPr>
              <w:t xml:space="preserve">（7）基础数据管理功能：实现运输企业、车辆、驾驶员、工地、土场的 “一档一档案” 管理，支持信息查询、添加、批量导入导出及统计。</w:t>
            </w:r>
            <w:r>
              <w:rPr>
                <w:rFonts w:hint="eastAsia" w:ascii="宋体" w:hAnsi="宋体" w:cs="宋体"/>
              </w:rPr>
            </w:r>
            <w:r/>
          </w:p>
          <w:p>
            <w:pPr>
              <w:pStyle w:val="656"/>
              <w:jc w:val="left"/>
              <w:spacing w:line="264" w:lineRule="auto"/>
              <w:rPr>
                <w:rFonts w:hint="eastAsia" w:ascii="宋体" w:hAnsi="宋体" w:cs="宋体"/>
              </w:rPr>
            </w:pPr>
            <w:r>
              <w:rPr>
                <w:rFonts w:hint="eastAsia" w:ascii="宋体" w:hAnsi="宋体" w:cs="宋体"/>
              </w:rPr>
              <w:t xml:space="preserve">（8）土场消纳存量管理功能：采用 “红绿灯” 模式展示土场剩余库容，剩余容量≤10% 时触发红色预警并停止消纳，支持容量趋势预测。</w:t>
            </w:r>
            <w:r>
              <w:rPr>
                <w:rFonts w:hint="eastAsia" w:ascii="宋体" w:hAnsi="宋体" w:cs="宋体"/>
              </w:rPr>
            </w:r>
            <w:r/>
          </w:p>
          <w:p>
            <w:pPr>
              <w:pStyle w:val="656"/>
              <w:jc w:val="left"/>
              <w:spacing w:line="264" w:lineRule="auto"/>
              <w:rPr>
                <w:rFonts w:hint="eastAsia" w:ascii="宋体" w:hAnsi="宋体" w:cs="宋体"/>
              </w:rPr>
            </w:pPr>
            <w:r>
              <w:rPr>
                <w:rFonts w:hint="eastAsia" w:ascii="宋体" w:hAnsi="宋体" w:cs="宋体"/>
              </w:rPr>
              <w:t xml:space="preserve">（9）三证合一线上审批功能：演示查验合格证、准运证、通行证的线上三级审批流程，支持街道园区意见线上前置审批与超期督办。</w:t>
            </w:r>
            <w:r>
              <w:rPr>
                <w:rFonts w:hint="eastAsia" w:ascii="宋体" w:hAnsi="宋体" w:cs="宋体"/>
              </w:rPr>
            </w:r>
            <w:r/>
          </w:p>
          <w:p>
            <w:pPr>
              <w:pStyle w:val="656"/>
              <w:jc w:val="left"/>
              <w:spacing w:line="264" w:lineRule="auto"/>
              <w:rPr>
                <w:rFonts w:hint="eastAsia" w:ascii="宋体" w:hAnsi="宋体" w:cs="宋体"/>
              </w:rPr>
            </w:pPr>
            <w:r>
              <w:rPr>
                <w:rFonts w:hint="eastAsia" w:ascii="宋体" w:hAnsi="宋体" w:cs="宋体"/>
              </w:rPr>
              <w:t xml:space="preserve">（10）联合执法工单处置与闭环功能：演示系统根据报警信息自动生成执法工单，智能分拨至辖区执法中队，执法人员通过移动端接收工单、现场核查、上传处置照片/视频，直至工单办结归档的全流程闭环管理。</w:t>
            </w:r>
            <w:r>
              <w:rPr>
                <w:rFonts w:hint="eastAsia" w:ascii="宋体" w:hAnsi="宋体" w:cs="宋体"/>
              </w:rPr>
            </w:r>
            <w:r/>
          </w:p>
          <w:p>
            <w:pPr>
              <w:pStyle w:val="656"/>
              <w:ind w:firstLine="420"/>
              <w:jc w:val="left"/>
              <w:spacing w:line="264" w:lineRule="auto"/>
              <w:rPr>
                <w:rFonts w:hint="eastAsia"/>
              </w:rPr>
            </w:pPr>
            <w:r>
              <w:rPr>
                <w:rFonts w:hint="eastAsia"/>
              </w:rPr>
              <w:t xml:space="preserve">采用类似真实系统演示，每小项功能完整准确演示</w:t>
            </w:r>
            <w:r>
              <w:rPr>
                <w:rFonts w:hint="eastAsia" w:ascii="宋体" w:hAnsi="宋体" w:cs="宋体"/>
              </w:rPr>
              <w:t xml:space="preserve">得2分</w:t>
            </w:r>
            <w:r>
              <w:rPr>
                <w:rFonts w:hint="eastAsia"/>
              </w:rPr>
              <w:t xml:space="preserve">，最多</w:t>
            </w:r>
            <w:r>
              <w:rPr>
                <w:rFonts w:hint="eastAsia" w:ascii="宋体" w:hAnsi="宋体" w:cs="宋体"/>
              </w:rPr>
              <w:t xml:space="preserve">得20分</w:t>
            </w:r>
            <w:r>
              <w:rPr>
                <w:rFonts w:hint="eastAsia"/>
              </w:rPr>
              <w:t xml:space="preserve">；</w:t>
            </w:r>
            <w:r>
              <w:rPr>
                <w:rFonts w:hint="eastAsia"/>
              </w:rPr>
            </w:r>
            <w:r/>
          </w:p>
          <w:p>
            <w:pPr>
              <w:pStyle w:val="656"/>
              <w:jc w:val="left"/>
              <w:spacing w:line="264" w:lineRule="auto"/>
              <w:rPr>
                <w:rFonts w:hint="eastAsia"/>
              </w:rPr>
            </w:pPr>
            <w:r>
              <w:rPr>
                <w:rFonts w:hint="eastAsia"/>
              </w:rPr>
              <w:t xml:space="preserve">采用系统原型（</w:t>
            </w:r>
            <w:r>
              <w:t xml:space="preserve">DEMO</w:t>
            </w:r>
            <w:r>
              <w:rPr>
                <w:rFonts w:hint="eastAsia"/>
              </w:rPr>
              <w:t xml:space="preserve">）演示，每小项功能完整准确演示</w:t>
            </w:r>
            <w:r>
              <w:rPr>
                <w:rFonts w:hint="eastAsia" w:ascii="宋体" w:hAnsi="宋体" w:cs="宋体"/>
              </w:rPr>
              <w:t xml:space="preserve">得1分</w:t>
            </w:r>
            <w:r>
              <w:rPr>
                <w:rFonts w:hint="eastAsia"/>
              </w:rPr>
              <w:t xml:space="preserve">，最多</w:t>
            </w:r>
            <w:r>
              <w:rPr>
                <w:rFonts w:hint="eastAsia" w:ascii="宋体" w:hAnsi="宋体" w:cs="宋体"/>
              </w:rPr>
              <w:t xml:space="preserve">得10分</w:t>
            </w:r>
            <w:r>
              <w:rPr>
                <w:rFonts w:hint="eastAsia"/>
              </w:rPr>
              <w:t xml:space="preserve">；</w:t>
            </w:r>
            <w:r>
              <w:rPr>
                <w:rFonts w:hint="eastAsia"/>
              </w:rPr>
            </w:r>
            <w:r/>
          </w:p>
          <w:p>
            <w:pPr>
              <w:pStyle w:val="656"/>
              <w:jc w:val="left"/>
              <w:spacing w:line="264" w:lineRule="auto"/>
              <w:rPr>
                <w:rFonts w:hint="eastAsia" w:ascii="宋体" w:hAnsi="宋体" w:cs="宋体"/>
              </w:rPr>
            </w:pPr>
            <w:r>
              <w:rPr>
                <w:rFonts w:hint="eastAsia" w:ascii="宋体" w:hAnsi="宋体" w:cs="宋体"/>
              </w:rPr>
              <w:t xml:space="preserve">采用PPT等方式演示，每小项功能完整准确演示得0.5分，最多得5分。 </w:t>
            </w:r>
            <w:r>
              <w:rPr>
                <w:rFonts w:hint="eastAsia" w:ascii="宋体" w:hAnsi="宋体" w:cs="宋体"/>
              </w:rPr>
            </w:r>
            <w:r/>
          </w:p>
          <w:p>
            <w:pPr>
              <w:pStyle w:val="656"/>
              <w:jc w:val="left"/>
              <w:spacing w:line="264" w:lineRule="auto"/>
              <w:rPr>
                <w:lang w:val="zh-CN"/>
              </w:rPr>
            </w:pPr>
            <w:r>
              <w:rPr>
                <w:rFonts w:hint="eastAsia"/>
              </w:rPr>
              <w:t xml:space="preserve">（未提供视频文件或因供应商自身原因视频文件无法打开或视频画面不清晰无法辨认的本评分项不得分。）</w:t>
            </w:r>
            <w:r>
              <w:rPr>
                <w:lang w:val="zh-CN"/>
              </w:rPr>
            </w: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20</w:t>
            </w:r>
            <w:r>
              <w:rPr>
                <w:rFonts w:ascii="宋体" w:hAnsi="宋体" w:cs="宋体"/>
              </w:rPr>
            </w:r>
            <w:r/>
          </w:p>
        </w:tc>
        <w:tc>
          <w:tcPr>
            <w:tcW w:w="900" w:type="dxa"/>
            <w:vAlign w:val="center"/>
            <w:textDirection w:val="lrTb"/>
            <w:noWrap w:val="false"/>
          </w:tcPr>
          <w:p>
            <w:pPr>
              <w:pStyle w:val="656"/>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72"/>
        </w:trPr>
        <w:tc>
          <w:tcPr>
            <w:gridSpan w:val="5"/>
            <w:tcW w:w="9575" w:type="dxa"/>
            <w:vAlign w:val="center"/>
            <w:textDirection w:val="lrTb"/>
            <w:noWrap w:val="false"/>
          </w:tcPr>
          <w:p>
            <w:pPr>
              <w:pStyle w:val="656"/>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95"/>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656"/>
              <w:spacing w:line="264" w:lineRule="auto"/>
              <w:rPr>
                <w:rFonts w:hint="eastAsia"/>
                <w:color w:val="0000ff"/>
              </w:rPr>
            </w:pPr>
            <w:r>
              <w:rPr>
                <w:rFonts w:hint="eastAsia"/>
              </w:rPr>
              <w:t xml:space="preserve">维保服务方案</w:t>
            </w:r>
            <w:r>
              <w:rPr>
                <w:rFonts w:hint="eastAsia"/>
                <w:color w:val="0000ff"/>
              </w:rPr>
            </w:r>
            <w:r/>
          </w:p>
        </w:tc>
        <w:tc>
          <w:tcPr>
            <w:tcW w:w="6330" w:type="dxa"/>
            <w:vAlign w:val="center"/>
            <w:textDirection w:val="lrTb"/>
            <w:noWrap w:val="false"/>
          </w:tcPr>
          <w:p>
            <w:pPr>
              <w:pStyle w:val="656"/>
              <w:jc w:val="left"/>
              <w:spacing w:line="264" w:lineRule="auto"/>
              <w:widowControl/>
              <w:rPr>
                <w:lang w:val="zh-CN"/>
              </w:rPr>
            </w:pPr>
            <w:r>
              <w:rPr>
                <w:lang w:val="zh-CN"/>
              </w:rPr>
              <w:t xml:space="preserve">根据本项目采购需求中“实施要求”编制方案，内容包含：1.服务体系；2.服务内容及服务流程；3故障解决方案；4.应急举措。以上每项内容逐项评分：</w:t>
            </w:r>
            <w:r>
              <w:rPr>
                <w:lang w:val="zh-CN"/>
              </w:rPr>
            </w:r>
            <w:r/>
          </w:p>
          <w:p>
            <w:pPr>
              <w:pStyle w:val="656"/>
              <w:jc w:val="left"/>
              <w:spacing w:line="264" w:lineRule="auto"/>
              <w:widowControl/>
              <w:rPr>
                <w:lang w:val="zh-CN"/>
              </w:rPr>
            </w:pPr>
            <w:r>
              <w:rPr>
                <w:lang w:val="zh-CN"/>
              </w:rPr>
              <w:t xml:space="preserve">方案内容完整、合理性、操作性强的，且专门针对本项目，契合采购需求视为符合；方案内容属于通用类，非专门针对本项目，部分契合采购需求视为部分符合；方案内容非专门针对本项目，脱离采购需求视为不符合。</w:t>
            </w:r>
            <w:r>
              <w:rPr>
                <w:lang w:val="zh-CN"/>
              </w:rPr>
            </w:r>
            <w:r/>
          </w:p>
          <w:p>
            <w:pPr>
              <w:pStyle w:val="656"/>
              <w:jc w:val="left"/>
              <w:spacing w:line="264" w:lineRule="auto"/>
              <w:widowControl/>
              <w:rPr>
                <w:lang w:val="zh-CN"/>
              </w:rPr>
            </w:pPr>
            <w:r>
              <w:rPr>
                <w:lang w:val="zh-CN"/>
              </w:rPr>
              <w:t xml:space="preserve">上述每项内容符合得1分；部分符合得0.5分；不符合或不提供不得分。</w:t>
            </w:r>
            <w:r>
              <w:rPr>
                <w:lang w:val="zh-CN"/>
              </w:rPr>
            </w:r>
            <w:r/>
            <w:r>
              <w:rPr>
                <w:lang w:val="zh-CN"/>
              </w:rPr>
            </w:r>
            <w:r/>
            <w:r>
              <w:rPr>
                <w:lang w:val="zh-CN"/>
              </w:rP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656"/>
              <w:jc w:val="center"/>
              <w:spacing w:before="68" w:line="264"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1179" w:type="dxa"/>
            <w:vAlign w:val="center"/>
            <w:textDirection w:val="lrTb"/>
            <w:noWrap w:val="false"/>
          </w:tcPr>
          <w:p>
            <w:pPr>
              <w:pStyle w:val="656"/>
              <w:spacing w:line="264" w:lineRule="auto"/>
              <w:rPr>
                <w:rFonts w:hint="eastAsia"/>
              </w:rPr>
            </w:pPr>
            <w:r>
              <w:rPr>
                <w:rFonts w:hint="eastAsia"/>
              </w:rPr>
              <w:t xml:space="preserve">培训方案</w:t>
            </w:r>
            <w:r>
              <w:rPr>
                <w:rFonts w:hint="eastAsia"/>
              </w:rPr>
            </w:r>
            <w:r/>
          </w:p>
        </w:tc>
        <w:tc>
          <w:tcPr>
            <w:tcW w:w="6330" w:type="dxa"/>
            <w:vAlign w:val="center"/>
            <w:textDirection w:val="lrTb"/>
            <w:noWrap w:val="false"/>
          </w:tcPr>
          <w:p>
            <w:pPr>
              <w:pStyle w:val="656"/>
              <w:jc w:val="left"/>
              <w:spacing w:line="264" w:lineRule="auto"/>
              <w:widowControl/>
            </w:pPr>
            <w:r>
              <w:t xml:space="preserve">根据本项目采购需求中“实施要求”编制方案，内容包含：1.培训目标；2.培训对象；3培训计划；4.培训内容。以上每项内容逐项评分：</w:t>
            </w:r>
            <w:r/>
          </w:p>
          <w:p>
            <w:pPr>
              <w:pStyle w:val="656"/>
              <w:jc w:val="left"/>
              <w:spacing w:line="264" w:lineRule="auto"/>
              <w:widowControl/>
            </w:pPr>
            <w:r>
              <w:t xml:space="preserve">方案内容完整详细、针对性强的，且专门针对本项目，契合采购需求视为符合；方案内容属于通用类，非专门针对本项目，部分契合采购需求视为部分符合；方案内容非专门针对本项目，脱离采购需求视为不符合。</w:t>
            </w:r>
            <w:r/>
          </w:p>
          <w:p>
            <w:pPr>
              <w:pStyle w:val="656"/>
              <w:jc w:val="left"/>
              <w:spacing w:line="264" w:lineRule="auto"/>
              <w:widowControl/>
            </w:pPr>
            <w:r>
              <w:t xml:space="preserve">上述每项内容符合得</w:t>
            </w:r>
            <w:r>
              <w:rPr>
                <w:rFonts w:hint="eastAsia"/>
              </w:rPr>
              <w:t xml:space="preserve">1</w:t>
            </w:r>
            <w:r>
              <w:t xml:space="preserve">分；部分符合得</w:t>
            </w:r>
            <w:r>
              <w:rPr>
                <w:rFonts w:hint="eastAsia"/>
              </w:rPr>
              <w:t xml:space="preserve">0.5</w:t>
            </w:r>
            <w:r>
              <w:t xml:space="preserve">分；不符合或不提供不得分。</w:t>
            </w:r>
            <w:r/>
            <w:r/>
            <w: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656"/>
              <w:jc w:val="center"/>
              <w:spacing w:before="68" w:line="264"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179" w:type="dxa"/>
            <w:vAlign w:val="center"/>
            <w:textDirection w:val="lrTb"/>
            <w:noWrap w:val="false"/>
          </w:tcPr>
          <w:p>
            <w:pPr>
              <w:pStyle w:val="656"/>
              <w:jc w:val="left"/>
              <w:spacing w:before="68" w:line="264" w:lineRule="auto"/>
              <w:rPr>
                <w:rFonts w:hint="eastAsia" w:ascii="宋体" w:hAnsi="宋体" w:cs="宋体"/>
                <w:spacing w:val="-2"/>
              </w:rPr>
            </w:pPr>
            <w:r>
              <w:rPr>
                <w:rFonts w:hint="eastAsia"/>
              </w:rPr>
              <w:t xml:space="preserve">本地化服务能力</w:t>
            </w:r>
            <w:r>
              <w:rPr>
                <w:rFonts w:hint="eastAsia" w:ascii="宋体" w:hAnsi="宋体" w:cs="宋体"/>
                <w:spacing w:val="-2"/>
              </w:rPr>
            </w:r>
            <w:r/>
          </w:p>
        </w:tc>
        <w:tc>
          <w:tcPr>
            <w:tcW w:w="6330" w:type="dxa"/>
            <w:vAlign w:val="center"/>
            <w:textDirection w:val="lrTb"/>
            <w:noWrap w:val="false"/>
          </w:tcPr>
          <w:p>
            <w:pPr>
              <w:pStyle w:val="656"/>
              <w:jc w:val="left"/>
              <w:spacing w:line="264" w:lineRule="auto"/>
              <w:rPr>
                <w:rFonts w:hint="eastAsia" w:ascii="宋体" w:hAnsi="宋体" w:cs="宋体"/>
                <w:spacing w:val="-2"/>
              </w:rPr>
            </w:pPr>
            <w:r>
              <w:rPr>
                <w:rFonts w:hint="eastAsia" w:ascii="宋体" w:hAnsi="宋体" w:cs="宋体"/>
              </w:rPr>
              <w:t xml:space="preserve">投标人具有本地化服务能力的得1分。（提供承诺书或有效证明材料</w:t>
            </w:r>
            <w:r>
              <w:rPr>
                <w:rFonts w:hint="eastAsia"/>
              </w:rPr>
              <w:t xml:space="preserve">，承诺书格式自拟</w:t>
            </w:r>
            <w:r>
              <w:rPr>
                <w:rFonts w:hint="eastAsia" w:ascii="宋体" w:hAnsi="宋体" w:cs="宋体"/>
              </w:rPr>
              <w:t xml:space="preserve">）</w:t>
            </w:r>
            <w:r>
              <w:rPr>
                <w:rFonts w:hint="eastAsia" w:ascii="宋体" w:hAnsi="宋体" w:cs="宋体"/>
                <w:spacing w:val="-2"/>
              </w:rPr>
            </w: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1</w:t>
            </w:r>
            <w:r>
              <w:rPr>
                <w:rFonts w:ascii="宋体" w:hAnsi="宋体" w:cs="宋体"/>
              </w:rPr>
            </w:r>
            <w:r/>
          </w:p>
        </w:tc>
        <w:tc>
          <w:tcPr>
            <w:tcW w:w="900"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55"/>
        </w:trPr>
        <w:tc>
          <w:tcPr>
            <w:gridSpan w:val="5"/>
            <w:tcW w:w="9575" w:type="dxa"/>
            <w:vAlign w:val="center"/>
            <w:textDirection w:val="lrTb"/>
            <w:noWrap w:val="false"/>
          </w:tcPr>
          <w:p>
            <w:pPr>
              <w:pStyle w:val="656"/>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656"/>
              <w:spacing w:before="69" w:line="264" w:lineRule="auto"/>
              <w:rPr>
                <w:rFonts w:ascii="宋体" w:hAnsi="宋体" w:cs="宋体"/>
                <w:spacing w:val="-2"/>
              </w:rPr>
            </w:pPr>
            <w:r>
              <w:rPr>
                <w:rFonts w:hint="eastAsia"/>
              </w:rPr>
              <w:t xml:space="preserve">投标人业绩</w:t>
            </w:r>
            <w:r>
              <w:rPr>
                <w:rFonts w:ascii="宋体" w:hAnsi="宋体" w:cs="宋体"/>
                <w:spacing w:val="-2"/>
              </w:rPr>
            </w:r>
            <w:r/>
          </w:p>
        </w:tc>
        <w:tc>
          <w:tcPr>
            <w:tcW w:w="6330" w:type="dxa"/>
            <w:vAlign w:val="center"/>
            <w:textDirection w:val="lrTb"/>
            <w:noWrap w:val="false"/>
          </w:tcPr>
          <w:p>
            <w:pPr>
              <w:pStyle w:val="656"/>
              <w:spacing w:line="264" w:lineRule="auto"/>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22</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3</w:t>
            </w:r>
            <w:r>
              <w:rPr>
                <w:rFonts w:ascii="宋体" w:hAnsi="宋体" w:cs="宋体"/>
              </w:rPr>
              <w:t xml:space="preserve">分。（</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lang w:bidi="zh-CN"/>
              </w:rPr>
            </w:r>
            <w:r/>
          </w:p>
        </w:tc>
        <w:tc>
          <w:tcPr>
            <w:tcW w:w="647" w:type="dxa"/>
            <w:vAlign w:val="center"/>
            <w:textDirection w:val="lrTb"/>
            <w:noWrap w:val="false"/>
          </w:tcPr>
          <w:p>
            <w:pPr>
              <w:pStyle w:val="656"/>
              <w:jc w:val="center"/>
              <w:spacing w:line="264" w:lineRule="auto"/>
            </w:pPr>
            <w:r>
              <w:rPr>
                <w:rFonts w:hint="eastAsia"/>
              </w:rPr>
              <w:t xml:space="preserve">6</w:t>
            </w:r>
            <w:r/>
          </w:p>
        </w:tc>
        <w:tc>
          <w:tcPr>
            <w:tcW w:w="900"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575" w:type="dxa"/>
            <w:vAlign w:val="top"/>
            <w:textDirection w:val="lrTb"/>
            <w:noWrap w:val="false"/>
          </w:tcPr>
          <w:p>
            <w:pPr>
              <w:pStyle w:val="656"/>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656"/>
              <w:spacing w:line="264" w:lineRule="auto"/>
              <w:rPr>
                <w:rFonts w:hint="eastAsia"/>
                <w:color w:val="0000ff"/>
              </w:rPr>
            </w:pPr>
            <w:r>
              <w:rPr>
                <w:rFonts w:hint="eastAsia"/>
              </w:rPr>
              <w:t xml:space="preserve">履约能力1</w:t>
            </w:r>
            <w:r>
              <w:rPr>
                <w:rFonts w:hint="eastAsia"/>
                <w:color w:val="0000ff"/>
              </w:rPr>
            </w:r>
            <w:r/>
          </w:p>
        </w:tc>
        <w:tc>
          <w:tcPr>
            <w:tcW w:w="6330" w:type="dxa"/>
            <w:vAlign w:val="center"/>
            <w:textDirection w:val="lrTb"/>
            <w:noWrap w:val="false"/>
          </w:tcPr>
          <w:p>
            <w:pPr>
              <w:pStyle w:val="656"/>
              <w:jc w:val="left"/>
              <w:rPr>
                <w:rFonts w:hint="eastAsia" w:ascii="宋体" w:hAnsi="宋体" w:cs="宋体"/>
                <w:spacing w:val="1"/>
              </w:rPr>
            </w:pPr>
            <w:r>
              <w:rPr>
                <w:rFonts w:hint="eastAsia" w:ascii="宋体" w:hAnsi="宋体" w:cs="宋体"/>
              </w:rPr>
              <w:t xml:space="preserve">1、投标人拟投入本项目的项目负责人具有：信息系统项目管理师证书、系统规划与管理师证书、ITSS服务项目经理证书，每有一项证书得2分，最高得6分。</w:t>
            </w:r>
            <w:r>
              <w:rPr>
                <w:rFonts w:hint="eastAsia" w:ascii="宋体" w:hAnsi="宋体" w:cs="宋体"/>
              </w:rPr>
              <w:br w:type="textWrapping" w:clear="all"/>
            </w:r>
            <w:r>
              <w:rPr>
                <w:rFonts w:hint="eastAsia" w:ascii="宋体" w:hAnsi="宋体" w:cs="宋体"/>
              </w:rPr>
              <w:t xml:space="preserve">2、投标人拟投入本项目的技术负责人具有：系统集成项目管理工程师证书、系统分析师证书、网络工程师证书，每有一项证书得2分</w:t>
            </w:r>
            <w:r>
              <w:rPr>
                <w:rFonts w:hint="eastAsia" w:ascii="宋体" w:hAnsi="宋体" w:cs="宋体"/>
                <w:spacing w:val="1"/>
              </w:rPr>
              <w:t xml:space="preserve">，最高得6分。</w:t>
            </w:r>
            <w:r>
              <w:rPr>
                <w:rFonts w:hint="eastAsia" w:ascii="宋体" w:hAnsi="宋体" w:cs="宋体"/>
                <w:spacing w:val="1"/>
              </w:rPr>
            </w:r>
            <w:r/>
          </w:p>
          <w:p>
            <w:pPr>
              <w:pStyle w:val="656"/>
              <w:spacing w:line="264" w:lineRule="auto"/>
            </w:pPr>
            <w:r>
              <w:rPr>
                <w:rFonts w:hint="eastAsia" w:ascii="宋体" w:hAnsi="宋体" w:cs="宋体"/>
                <w:spacing w:val="1"/>
              </w:rPr>
              <w:t xml:space="preserve">投标人须上传人员证书，同时提供投标人为其缴纳2026年1月1日以来任意一个月的社保证明。</w:t>
            </w: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12</w:t>
            </w:r>
            <w:r>
              <w:rPr>
                <w:rFonts w:ascii="宋体" w:hAnsi="宋体" w:cs="宋体"/>
              </w:rPr>
            </w:r>
            <w:r/>
          </w:p>
        </w:tc>
        <w:tc>
          <w:tcPr>
            <w:tcW w:w="900"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656"/>
              <w:spacing w:line="264" w:lineRule="auto"/>
              <w:rPr>
                <w:rFonts w:hint="eastAsia"/>
                <w:color w:val="0000ff"/>
              </w:rPr>
            </w:pPr>
            <w:r>
              <w:rPr>
                <w:rFonts w:hint="eastAsia"/>
              </w:rPr>
              <w:t xml:space="preserve">履约能力2</w:t>
            </w:r>
            <w:r>
              <w:rPr>
                <w:rFonts w:hint="eastAsia"/>
                <w:color w:val="0000ff"/>
              </w:rPr>
            </w:r>
            <w:r/>
          </w:p>
        </w:tc>
        <w:tc>
          <w:tcPr>
            <w:tcW w:w="6330" w:type="dxa"/>
            <w:vAlign w:val="center"/>
            <w:textDirection w:val="lrTb"/>
            <w:noWrap w:val="false"/>
          </w:tcPr>
          <w:p>
            <w:pPr>
              <w:pStyle w:val="656"/>
              <w:spacing w:line="264" w:lineRule="auto"/>
              <w:rPr>
                <w:rFonts w:ascii="宋体" w:hAnsi="宋体" w:cs="宋体"/>
              </w:rPr>
            </w:pPr>
            <w:r>
              <w:rPr>
                <w:rFonts w:hint="eastAsia" w:ascii="宋体" w:hAnsi="宋体" w:cs="宋体"/>
                <w:spacing w:val="1"/>
              </w:rPr>
              <w:t xml:space="preserve">投标人拟投入本项目的项目</w:t>
            </w:r>
            <w:r>
              <w:rPr>
                <w:rFonts w:hint="eastAsia" w:ascii="宋体" w:hAnsi="宋体" w:cs="宋体"/>
              </w:rPr>
              <w:t xml:space="preserve">团队成员</w:t>
            </w:r>
            <w:r>
              <w:rPr>
                <w:rFonts w:hint="eastAsia" w:ascii="宋体" w:hAnsi="宋体" w:cs="宋体"/>
                <w:spacing w:val="1"/>
              </w:rPr>
              <w:t xml:space="preserve">（</w:t>
            </w:r>
            <w:r>
              <w:rPr>
                <w:rFonts w:hint="eastAsia" w:ascii="宋体" w:hAnsi="宋体" w:cs="宋体"/>
              </w:rPr>
              <w:t xml:space="preserve">除项目负责人、技术负责人以外）具有：系统架构设计师证书、软件设计师证书、数据库系统工程师，每提供一个证书得3分，最高得9分，一人多证不累计得分。</w:t>
            </w:r>
            <w:r>
              <w:rPr>
                <w:rFonts w:hint="eastAsia" w:ascii="宋体" w:hAnsi="宋体" w:cs="宋体"/>
              </w:rPr>
              <w:br w:type="textWrapping" w:clear="all"/>
            </w:r>
            <w:r>
              <w:rPr>
                <w:rFonts w:hint="eastAsia" w:ascii="宋体" w:hAnsi="宋体" w:cs="宋体"/>
              </w:rPr>
              <w:t xml:space="preserve">投标人须上传人员证书，同时提供</w:t>
            </w:r>
            <w:r>
              <w:rPr>
                <w:rStyle w:val="734"/>
                <w:rFonts w:hint="eastAsia" w:ascii="宋体" w:hAnsi="宋体" w:cs="宋体"/>
              </w:rPr>
              <w:t xml:space="preserve">投标人为其缴纳2026年1月1日以来任意一个月的社保证明。</w:t>
            </w:r>
            <w:r>
              <w:rPr>
                <w:rFonts w:ascii="宋体" w:hAnsi="宋体" w:cs="宋体"/>
              </w:rPr>
            </w:r>
            <w:r/>
          </w:p>
        </w:tc>
        <w:tc>
          <w:tcPr>
            <w:tcW w:w="647"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W w:w="900"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5.3</w:t>
            </w:r>
            <w:r>
              <w:rPr>
                <w:rFonts w:ascii="宋体" w:hAnsi="宋体" w:cs="宋体"/>
                <w:spacing w:val="-2"/>
              </w:rPr>
            </w:r>
            <w:r/>
          </w:p>
        </w:tc>
        <w:tc>
          <w:tcPr>
            <w:tcW w:w="1179" w:type="dxa"/>
            <w:vAlign w:val="center"/>
            <w:textDirection w:val="lrTb"/>
            <w:noWrap w:val="false"/>
          </w:tcPr>
          <w:p>
            <w:pPr>
              <w:pStyle w:val="656"/>
              <w:spacing w:line="264" w:lineRule="auto"/>
              <w:rPr>
                <w:rFonts w:hint="eastAsia"/>
                <w:color w:val="0000ff"/>
              </w:rPr>
            </w:pPr>
            <w:r>
              <w:rPr>
                <w:rFonts w:hint="eastAsia"/>
              </w:rPr>
              <w:t xml:space="preserve">履约能力3</w:t>
            </w:r>
            <w:r>
              <w:rPr>
                <w:rFonts w:hint="eastAsia"/>
                <w:color w:val="0000ff"/>
              </w:rPr>
            </w:r>
            <w:r/>
          </w:p>
        </w:tc>
        <w:tc>
          <w:tcPr>
            <w:tcW w:w="6330" w:type="dxa"/>
            <w:vAlign w:val="center"/>
            <w:textDirection w:val="lrTb"/>
            <w:noWrap w:val="false"/>
          </w:tcPr>
          <w:p>
            <w:pPr>
              <w:pStyle w:val="656"/>
              <w:spacing w:line="264" w:lineRule="auto"/>
              <w:rPr>
                <w:rFonts w:hint="eastAsia"/>
              </w:rPr>
            </w:pPr>
            <w:r>
              <w:rPr>
                <w:rFonts w:hint="eastAsia" w:ascii="宋体" w:hAnsi="宋体" w:cs="宋体"/>
              </w:rPr>
              <w:t xml:space="preserve">投标人具有与“城市管理”、“指挥调度”、“现场取证”相关的软件著作权，每提供1个符合要求的证书得2分，本项最多得6分。证书登记注册的软件名称无需完全一致，但内容(功能)需相同，所提供著作权名称与评分要求不同时，应提供功能说明及包含的关键信息，相应系统功能应符合上述要求，否则不予认可。</w:t>
            </w:r>
            <w:r>
              <w:rPr>
                <w:rFonts w:hint="eastAsia"/>
              </w:rPr>
            </w:r>
            <w:r/>
          </w:p>
        </w:tc>
        <w:tc>
          <w:tcPr>
            <w:tcW w:w="647"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900"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64"/>
        </w:trPr>
        <w:tc>
          <w:tcPr>
            <w:tcW w:w="519" w:type="dxa"/>
            <w:vAlign w:val="center"/>
            <w:textDirection w:val="lrTb"/>
            <w:noWrap w:val="false"/>
          </w:tcPr>
          <w:p>
            <w:pPr>
              <w:pStyle w:val="656"/>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656"/>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656"/>
              <w:jc w:val="center"/>
              <w:spacing w:line="264" w:lineRule="auto"/>
            </w:pPr>
            <w:r>
              <w:rPr>
                <w:rFonts w:ascii="宋体" w:hAnsi="宋体" w:cs="宋体"/>
                <w:spacing w:val="-11"/>
              </w:rPr>
              <w:t xml:space="preserve">100分</w:t>
            </w:r>
            <w:r/>
          </w:p>
        </w:tc>
      </w:tr>
    </w:tbl>
    <w:p>
      <w:pPr>
        <w:pStyle w:val="656"/>
        <w:spacing w:line="264" w:lineRule="auto"/>
        <w:rPr>
          <w:rFonts w:hint="eastAsia"/>
        </w:rPr>
      </w:pPr>
      <w:r>
        <w:rPr>
          <w:rFonts w:hint="eastAsia"/>
        </w:rPr>
      </w:r>
      <w:r/>
    </w:p>
    <w:p>
      <w:pPr>
        <w:pStyle w:val="656"/>
        <w:spacing w:line="264" w:lineRule="auto"/>
        <w:rPr>
          <w:rFonts w:hint="eastAsia"/>
        </w:rPr>
      </w:pPr>
      <w:r>
        <w:rPr>
          <w:rFonts w:hint="eastAsia"/>
        </w:rPr>
      </w:r>
      <w:r/>
    </w:p>
    <w:p>
      <w:pPr>
        <w:pStyle w:val="656"/>
        <w:spacing w:line="264" w:lineRule="auto"/>
        <w:rPr>
          <w:rFonts w:hint="eastAsia"/>
        </w:rPr>
      </w:pPr>
      <w:r>
        <w:rPr>
          <w:rFonts w:hint="eastAsia"/>
        </w:rPr>
      </w:r>
      <w:r/>
    </w:p>
    <w:p>
      <w:pPr>
        <w:pStyle w:val="735"/>
        <w:rPr>
          <w:rFonts w:hint="eastAsia"/>
        </w:rPr>
      </w:pPr>
      <w:r>
        <w:rPr>
          <w:rFonts w:hint="eastAsia"/>
        </w:rPr>
      </w:r>
      <w:r/>
    </w:p>
    <w:p>
      <w:pPr>
        <w:pStyle w:val="656"/>
        <w:rPr>
          <w:rFonts w:hint="eastAsia"/>
        </w:rPr>
      </w:pPr>
      <w:r>
        <w:rPr>
          <w:rFonts w:hint="eastAsia"/>
        </w:rPr>
      </w:r>
      <w:r/>
    </w:p>
    <w:p>
      <w:pPr>
        <w:pStyle w:val="735"/>
        <w:rPr>
          <w:rFonts w:hint="eastAsia"/>
        </w:rPr>
      </w:pPr>
      <w:r>
        <w:rPr>
          <w:rFonts w:hint="eastAsia"/>
        </w:rPr>
      </w:r>
      <w:r/>
    </w:p>
    <w:p>
      <w:pPr>
        <w:pStyle w:val="656"/>
        <w:rPr>
          <w:rFonts w:hint="eastAsia"/>
        </w:rPr>
      </w:pPr>
      <w:r>
        <w:rPr>
          <w:rFonts w:hint="eastAsia"/>
        </w:rPr>
      </w:r>
      <w:r/>
    </w:p>
    <w:p>
      <w:pPr>
        <w:pStyle w:val="735"/>
        <w:rPr>
          <w:rFonts w:hint="eastAsia"/>
        </w:rPr>
      </w:pPr>
      <w:r>
        <w:rPr>
          <w:rFonts w:hint="eastAsia"/>
        </w:rPr>
      </w:r>
      <w:r/>
    </w:p>
    <w:p>
      <w:pPr>
        <w:pStyle w:val="656"/>
        <w:rPr>
          <w:rFonts w:hint="eastAsia"/>
        </w:rPr>
      </w:pPr>
      <w:r>
        <w:rPr>
          <w:rFonts w:hint="eastAsia"/>
        </w:rPr>
      </w:r>
      <w:r/>
    </w:p>
    <w:p>
      <w:pPr>
        <w:pStyle w:val="656"/>
        <w:jc w:val="center"/>
        <w:rPr>
          <w:rFonts w:hint="eastAsia"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236"/>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656"/>
        <w:jc w:val="center"/>
        <w:rPr>
          <w:rFonts w:hint="eastAsia" w:ascii="宋体" w:hAnsi="宋体"/>
          <w:b/>
          <w:sz w:val="72"/>
        </w:rPr>
      </w:pPr>
      <w:r/>
      <w:bookmarkStart w:id="237" w:name="_Hlt26955039"/>
      <w:r/>
      <w:bookmarkEnd w:id="237"/>
      <w:r/>
      <w:bookmarkStart w:id="238" w:name="_Toc120614282"/>
      <w:r/>
      <w:bookmarkStart w:id="239" w:name="_Toc49090576"/>
      <w:r/>
      <w:bookmarkStart w:id="240" w:name="_Toc26554094"/>
      <w:r/>
      <w:bookmarkStart w:id="241" w:name="_Hlt26671244"/>
      <w:r/>
      <w:bookmarkEnd w:id="241"/>
      <w:r>
        <w:rPr>
          <w:rFonts w:hint="eastAsia" w:ascii="宋体" w:hAnsi="宋体"/>
          <w:b/>
          <w:sz w:val="72"/>
        </w:rPr>
      </w:r>
      <w:r/>
    </w:p>
    <w:p>
      <w:pPr>
        <w:pStyle w:val="656"/>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6"/>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spacing w:line="440" w:lineRule="exact"/>
        <w:rPr>
          <w:rFonts w:ascii="宋体" w:hAnsi="宋体"/>
        </w:rPr>
      </w:pPr>
      <w:r>
        <w:rPr>
          <w:rFonts w:ascii="宋体" w:hAnsi="宋体"/>
        </w:rPr>
      </w:r>
      <w:r/>
    </w:p>
    <w:p>
      <w:pPr>
        <w:pStyle w:val="656"/>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r>
      <w:r/>
    </w:p>
    <w:p>
      <w:pPr>
        <w:pStyle w:val="726"/>
        <w:ind w:firstLine="560"/>
        <w:rPr>
          <w:rFonts w:hint="eastAsia" w:cs="宋体"/>
          <w:sz w:val="28"/>
          <w:szCs w:val="28"/>
          <w:lang w:val="en-US" w:eastAsia="zh-CN"/>
        </w:rPr>
      </w:pPr>
      <w:r>
        <w:rPr>
          <w:rFonts w:hint="eastAsia" w:cs="宋体"/>
          <w:sz w:val="28"/>
          <w:szCs w:val="28"/>
          <w:lang w:val="en-US" w:eastAsia="zh-CN"/>
        </w:rPr>
      </w:r>
      <w:r/>
    </w:p>
    <w:p>
      <w:pPr>
        <w:pStyle w:val="656"/>
        <w:rPr>
          <w:rFonts w:hint="eastAsia" w:ascii="宋体" w:hAnsi="宋体" w:cs="宋体"/>
          <w:sz w:val="28"/>
          <w:szCs w:val="28"/>
        </w:rPr>
      </w:pPr>
      <w:r>
        <w:rPr>
          <w:rFonts w:hint="eastAsia" w:ascii="宋体" w:hAnsi="宋体" w:cs="宋体"/>
          <w:sz w:val="28"/>
          <w:szCs w:val="28"/>
        </w:rPr>
      </w:r>
      <w:r/>
    </w:p>
    <w:p>
      <w:pPr>
        <w:pStyle w:val="726"/>
        <w:ind w:firstLine="640"/>
        <w:rPr>
          <w:rFonts w:hint="eastAsia"/>
          <w:lang w:val="en-US" w:eastAsia="zh-CN"/>
        </w:rPr>
      </w:pPr>
      <w:r>
        <w:rPr>
          <w:rFonts w:hint="eastAsia"/>
          <w:lang w:val="en-US" w:eastAsia="zh-CN"/>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r>
      <w:r/>
    </w:p>
    <w:p>
      <w:pPr>
        <w:pStyle w:val="656"/>
        <w:ind w:firstLine="480"/>
        <w:spacing w:line="440" w:lineRule="exact"/>
        <w:rPr>
          <w:rFonts w:ascii="宋体" w:hAnsi="宋体"/>
          <w:sz w:val="24"/>
        </w:rPr>
      </w:pPr>
      <w:r>
        <w:rPr>
          <w:rFonts w:ascii="宋体" w:hAnsi="宋体"/>
          <w:sz w:val="24"/>
        </w:rPr>
      </w:r>
      <w:r/>
    </w:p>
    <w:p>
      <w:pPr>
        <w:pStyle w:val="656"/>
        <w:ind w:firstLine="480"/>
        <w:spacing w:line="440" w:lineRule="exact"/>
        <w:rPr>
          <w:rFonts w:ascii="宋体" w:hAnsi="宋体"/>
          <w:sz w:val="24"/>
        </w:rPr>
      </w:pPr>
      <w:r>
        <w:rPr>
          <w:rFonts w:ascii="宋体" w:hAnsi="宋体"/>
          <w:sz w:val="24"/>
        </w:rPr>
      </w:r>
      <w:r/>
    </w:p>
    <w:p>
      <w:pPr>
        <w:pStyle w:val="741"/>
        <w:rPr>
          <w:sz w:val="24"/>
        </w:rPr>
      </w:pPr>
      <w:r>
        <w:rPr>
          <w:sz w:val="24"/>
        </w:rPr>
      </w:r>
      <w:r/>
    </w:p>
    <w:p>
      <w:pPr>
        <w:pStyle w:val="741"/>
        <w:rPr>
          <w:sz w:val="24"/>
        </w:rPr>
      </w:pPr>
      <w:r>
        <w:rPr>
          <w:sz w:val="24"/>
        </w:rPr>
      </w:r>
      <w:r/>
    </w:p>
    <w:p>
      <w:pPr>
        <w:pStyle w:val="741"/>
        <w:rPr>
          <w:sz w:val="24"/>
        </w:rPr>
      </w:pPr>
      <w:r>
        <w:rPr>
          <w:sz w:val="24"/>
        </w:rPr>
      </w:r>
      <w:r/>
    </w:p>
    <w:p>
      <w:pPr>
        <w:pStyle w:val="741"/>
        <w:rPr>
          <w:sz w:val="24"/>
        </w:rPr>
      </w:pPr>
      <w:r>
        <w:rPr>
          <w:sz w:val="24"/>
        </w:rPr>
      </w:r>
      <w:r/>
    </w:p>
    <w:p>
      <w:pPr>
        <w:pStyle w:val="741"/>
        <w:rPr>
          <w:sz w:val="24"/>
        </w:rPr>
      </w:pPr>
      <w:r>
        <w:rPr>
          <w:sz w:val="24"/>
        </w:rPr>
      </w:r>
      <w:r/>
    </w:p>
    <w:p>
      <w:pPr>
        <w:pStyle w:val="656"/>
        <w:ind w:firstLine="480"/>
        <w:spacing w:line="440" w:lineRule="exact"/>
        <w:rPr>
          <w:rFonts w:ascii="宋体" w:hAnsi="宋体"/>
          <w:sz w:val="24"/>
        </w:rPr>
      </w:pPr>
      <w:r>
        <w:rPr>
          <w:rFonts w:ascii="宋体" w:hAnsi="宋体"/>
          <w:sz w:val="24"/>
        </w:rPr>
      </w:r>
      <w:r/>
    </w:p>
    <w:p>
      <w:pPr>
        <w:pStyle w:val="656"/>
        <w:jc w:val="left"/>
        <w:spacing w:line="360" w:lineRule="auto"/>
        <w:rPr>
          <w:rFonts w:hint="eastAsia" w:ascii="黑体" w:hAnsi="黑体" w:eastAsia="黑体"/>
          <w:sz w:val="32"/>
          <w:szCs w:val="32"/>
        </w:rPr>
      </w:pPr>
      <w:r/>
      <w:bookmarkEnd w:id="238"/>
      <w:r/>
      <w:bookmarkEnd w:id="239"/>
      <w:r/>
      <w:bookmarkEnd w:id="240"/>
      <w:r/>
      <w:bookmarkStart w:id="242" w:name="_Toc120614284"/>
      <w:r>
        <w:rPr>
          <w:rFonts w:hint="eastAsia" w:ascii="黑体" w:hAnsi="黑体" w:eastAsia="黑体"/>
          <w:i/>
          <w:iCs/>
          <w:sz w:val="32"/>
          <w:szCs w:val="32"/>
          <w:u w:val="single"/>
        </w:rPr>
        <w:t xml:space="preserve">一、供应商信用承诺函</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56"/>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656"/>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656"/>
        <w:ind w:firstLine="492"/>
        <w:spacing w:line="460" w:lineRule="exact"/>
        <w:widowControl/>
        <w:rPr>
          <w:rFonts w:hint="eastAsia"/>
        </w:rPr>
      </w:pPr>
      <w:r>
        <w:rPr>
          <w:rFonts w:hint="eastAsia" w:ascii="宋体" w:hAnsi="宋体"/>
          <w:color w:val="000000"/>
          <w:sz w:val="24"/>
          <w:szCs w:val="24"/>
        </w:rPr>
        <w:t xml:space="preserve">(七)未参加此项目的整体设计、规范编制或者项目管理、监理、检测等服务。</w:t>
      </w:r>
      <w:r>
        <w:rPr>
          <w:rFonts w:hint="eastAsia"/>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656"/>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656"/>
        <w:ind w:firstLine="492"/>
        <w:spacing w:line="460" w:lineRule="exact"/>
        <w:rPr>
          <w:color w:val="000000"/>
          <w:sz w:val="24"/>
          <w:szCs w:val="24"/>
        </w:rPr>
      </w:pPr>
      <w:r>
        <w:rPr>
          <w:color w:val="000000"/>
          <w:sz w:val="24"/>
          <w:szCs w:val="24"/>
        </w:rPr>
      </w:r>
      <w:r/>
    </w:p>
    <w:p>
      <w:pPr>
        <w:pStyle w:val="778"/>
        <w:rPr>
          <w:color w:val="000000"/>
          <w:sz w:val="24"/>
          <w:szCs w:val="24"/>
        </w:rPr>
      </w:pPr>
      <w:r>
        <w:rPr>
          <w:color w:val="000000"/>
          <w:sz w:val="24"/>
          <w:szCs w:val="24"/>
        </w:rPr>
      </w:r>
      <w:r/>
    </w:p>
    <w:p>
      <w:pPr>
        <w:pStyle w:val="656"/>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6"/>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rPr>
          <w:sz w:val="24"/>
          <w:szCs w:val="24"/>
        </w:rPr>
      </w:pPr>
      <w:r>
        <w:rPr>
          <w:sz w:val="24"/>
          <w:szCs w:val="24"/>
        </w:rPr>
      </w:r>
      <w:r/>
    </w:p>
    <w:p>
      <w:pPr>
        <w:pStyle w:val="656"/>
        <w:spacing w:line="440" w:lineRule="exact"/>
        <w:rPr>
          <w:rFonts w:hint="eastAsia" w:ascii="宋体" w:hAnsi="宋体"/>
          <w:sz w:val="24"/>
          <w:szCs w:val="24"/>
        </w:rPr>
      </w:pPr>
      <w:r>
        <w:rPr>
          <w:rFonts w:hint="eastAsia" w:ascii="宋体" w:hAnsi="宋体"/>
          <w:sz w:val="24"/>
          <w:szCs w:val="24"/>
        </w:rPr>
      </w:r>
      <w:r/>
    </w:p>
    <w:p>
      <w:pPr>
        <w:pStyle w:val="656"/>
        <w:ind w:firstLine="480"/>
        <w:spacing w:line="440" w:lineRule="exact"/>
        <w:rPr>
          <w:rFonts w:hint="eastAsia" w:ascii="宋体" w:hAnsi="宋体"/>
          <w:sz w:val="24"/>
          <w:szCs w:val="24"/>
        </w:rPr>
      </w:pPr>
      <w:r>
        <w:rPr>
          <w:rFonts w:hint="eastAsia" w:ascii="宋体" w:hAnsi="宋体"/>
          <w:sz w:val="24"/>
          <w:szCs w:val="24"/>
        </w:rPr>
      </w:r>
      <w:r/>
    </w:p>
    <w:p>
      <w:pPr>
        <w:pStyle w:val="780"/>
        <w:rPr>
          <w:rFonts w:hint="eastAsia" w:ascii="宋体" w:hAnsi="宋体"/>
          <w:b/>
          <w:bCs/>
          <w:lang w:eastAsia="zh-CN"/>
        </w:rPr>
      </w:pPr>
      <w:r>
        <w:rPr>
          <w:rFonts w:hint="eastAsia" w:ascii="宋体" w:hAnsi="宋体"/>
          <w:b/>
          <w:bCs/>
          <w:lang w:eastAsia="zh-CN"/>
        </w:rPr>
      </w:r>
      <w:r/>
    </w:p>
    <w:p>
      <w:pPr>
        <w:pStyle w:val="656"/>
        <w:rPr>
          <w:rFonts w:hint="eastAsia"/>
        </w:rPr>
      </w:pPr>
      <w:r>
        <w:rPr>
          <w:rFonts w:hint="eastAsia"/>
        </w:rPr>
      </w:r>
      <w:r/>
    </w:p>
    <w:p>
      <w:pPr>
        <w:pStyle w:val="726"/>
        <w:ind w:firstLine="640"/>
        <w:rPr>
          <w:rFonts w:hint="eastAsia"/>
          <w:lang w:eastAsia="zh-CN"/>
        </w:rPr>
      </w:pPr>
      <w:r>
        <w:rPr>
          <w:rFonts w:hint="eastAsia"/>
          <w:lang w:eastAsia="zh-CN"/>
        </w:rPr>
      </w:r>
      <w:r/>
    </w:p>
    <w:p>
      <w:pPr>
        <w:pStyle w:val="656"/>
        <w:rPr>
          <w:rFonts w:hint="eastAsia"/>
        </w:rPr>
      </w:pPr>
      <w:r>
        <w:rPr>
          <w:rFonts w:hint="eastAsia"/>
        </w:rPr>
      </w:r>
      <w:r/>
    </w:p>
    <w:p>
      <w:pPr>
        <w:pStyle w:val="656"/>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750"/>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780"/>
        <w:rPr>
          <w:rFonts w:hint="eastAsia"/>
        </w:rPr>
      </w:pPr>
      <w:r>
        <w:rPr>
          <w:rFonts w:hint="eastAsia"/>
        </w:rPr>
      </w:r>
      <w:r/>
    </w:p>
    <w:p>
      <w:pPr>
        <w:pStyle w:val="656"/>
        <w:rPr>
          <w:rFonts w:hint="eastAsia"/>
        </w:rPr>
      </w:pPr>
      <w:r>
        <w:rPr>
          <w:rFonts w:hint="eastAsia"/>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jc w:val="left"/>
        <w:spacing w:line="360" w:lineRule="auto"/>
        <w:rPr>
          <w:rFonts w:hint="eastAsia" w:ascii="黑体" w:hAnsi="黑体" w:eastAsia="黑体"/>
          <w:i/>
          <w:iCs/>
          <w:sz w:val="32"/>
          <w:szCs w:val="32"/>
          <w:u w:val="single"/>
        </w:rPr>
      </w:pPr>
      <w:r>
        <w:rPr>
          <w:rFonts w:hint="eastAsia" w:ascii="黑体" w:hAnsi="黑体" w:eastAsia="黑体"/>
          <w:i/>
          <w:iCs/>
          <w:sz w:val="32"/>
          <w:szCs w:val="32"/>
          <w:u w:val="single"/>
        </w:rPr>
        <w:t xml:space="preserve">三、法人授权书</w:t>
      </w:r>
      <w:r>
        <w:rPr>
          <w:rFonts w:hint="eastAsia" w:ascii="黑体" w:hAnsi="黑体" w:eastAsia="黑体"/>
          <w:i/>
          <w:iCs/>
          <w:sz w:val="32"/>
          <w:szCs w:val="32"/>
          <w:u w:val="single"/>
        </w:rPr>
      </w:r>
      <w:r/>
    </w:p>
    <w:p>
      <w:pPr>
        <w:pStyle w:val="656"/>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750"/>
        <w:ind w:firstLine="480"/>
        <w:spacing w:line="420" w:lineRule="exact"/>
        <w:tabs>
          <w:tab w:val="left" w:pos="360" w:leader="none"/>
        </w:tabs>
        <w:rPr>
          <w:rFonts w:hint="eastAsia"/>
          <w:sz w:val="24"/>
          <w:szCs w:val="24"/>
        </w:rPr>
      </w:pPr>
      <w:r>
        <w:rPr>
          <w:rFonts w:hint="eastAsia"/>
          <w:sz w:val="24"/>
          <w:szCs w:val="24"/>
        </w:rPr>
      </w:r>
      <w:r/>
    </w:p>
    <w:p>
      <w:pPr>
        <w:pStyle w:val="750"/>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750"/>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750"/>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750"/>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750"/>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50"/>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750"/>
        <w:ind w:firstLine="480"/>
        <w:spacing w:line="480" w:lineRule="exact"/>
        <w:tabs>
          <w:tab w:val="left" w:pos="360" w:leader="none"/>
        </w:tabs>
        <w:rPr>
          <w:rFonts w:hint="eastAsia"/>
          <w:sz w:val="24"/>
          <w:szCs w:val="24"/>
        </w:rPr>
      </w:pPr>
      <w:r>
        <w:rPr>
          <w:rFonts w:hint="eastAsia"/>
          <w:sz w:val="24"/>
          <w:szCs w:val="24"/>
        </w:rPr>
        <w:t xml:space="preserve">日    期：</w:t>
      </w:r>
      <w:bookmarkStart w:id="243" w:name="_Hlt26671380"/>
      <w:r/>
      <w:bookmarkEnd w:id="243"/>
      <w:r/>
      <w:bookmarkStart w:id="244" w:name="_Hlt26955070"/>
      <w:r/>
      <w:bookmarkEnd w:id="244"/>
      <w:r/>
      <w:bookmarkStart w:id="245" w:name="_格式3__银行出具的资信证明"/>
      <w:r/>
      <w:bookmarkEnd w:id="245"/>
      <w:r>
        <w:rPr>
          <w:rFonts w:hint="eastAsia"/>
          <w:sz w:val="24"/>
          <w:szCs w:val="24"/>
        </w:rPr>
      </w:r>
      <w:r/>
    </w:p>
    <w:p>
      <w:pPr>
        <w:pStyle w:val="671"/>
        <w:rPr>
          <w:rFonts w:hint="eastAsia"/>
          <w:i/>
          <w:sz w:val="24"/>
          <w:szCs w:val="24"/>
          <w:u w:val="single"/>
        </w:rPr>
      </w:pPr>
      <w:r>
        <w:rPr>
          <w:rFonts w:hint="eastAsia"/>
          <w:i/>
          <w:sz w:val="24"/>
          <w:szCs w:val="24"/>
          <w:u w:val="single"/>
        </w:rPr>
      </w:r>
      <w:r/>
    </w:p>
    <w:p>
      <w:pPr>
        <w:pStyle w:val="671"/>
        <w:rPr>
          <w:rFonts w:hint="eastAsia"/>
          <w:i/>
          <w:sz w:val="24"/>
          <w:szCs w:val="24"/>
          <w:u w:val="single"/>
        </w:rPr>
      </w:pPr>
      <w:r>
        <w:rPr>
          <w:rFonts w:hint="eastAsia"/>
          <w:i/>
          <w:sz w:val="24"/>
          <w:szCs w:val="24"/>
          <w:u w:val="single"/>
        </w:rPr>
      </w:r>
      <w:r/>
    </w:p>
    <w:p>
      <w:pPr>
        <w:pStyle w:val="671"/>
        <w:rPr>
          <w:rFonts w:hint="eastAsia"/>
          <w:i/>
          <w:sz w:val="24"/>
          <w:szCs w:val="24"/>
          <w:u w:val="single"/>
        </w:rPr>
      </w:pPr>
      <w:r>
        <w:rPr>
          <w:rFonts w:hint="eastAsia"/>
          <w:i/>
          <w:sz w:val="24"/>
          <w:szCs w:val="24"/>
          <w:u w:val="single"/>
        </w:rPr>
      </w:r>
      <w:r/>
    </w:p>
    <w:p>
      <w:pPr>
        <w:pStyle w:val="671"/>
        <w:ind w:firstLine="0"/>
        <w:rPr>
          <w:rFonts w:hint="eastAsia"/>
        </w:rPr>
      </w:pPr>
      <w:r>
        <w:rPr>
          <w:rFonts w:hint="eastAsia"/>
        </w:rPr>
      </w:r>
      <w:r/>
    </w:p>
    <w:p>
      <w:pPr>
        <w:pStyle w:val="656"/>
        <w:spacing w:line="460" w:lineRule="exact"/>
        <w:rPr>
          <w:rFonts w:hint="eastAsia" w:ascii="楷体" w:hAnsi="楷体" w:eastAsia="楷体"/>
          <w:bCs/>
          <w:sz w:val="24"/>
          <w:szCs w:val="24"/>
        </w:rPr>
      </w:pPr>
      <w:r>
        <w:rPr>
          <w:rFonts w:hint="eastAsia" w:ascii="楷体" w:hAnsi="楷体" w:eastAsia="楷体"/>
          <w:bCs/>
          <w:sz w:val="24"/>
          <w:szCs w:val="24"/>
        </w:rPr>
      </w:r>
      <w:r/>
    </w:p>
    <w:p>
      <w:pPr>
        <w:pStyle w:val="656"/>
        <w:spacing w:line="460" w:lineRule="exact"/>
        <w:rPr>
          <w:rFonts w:hint="eastAsia" w:ascii="宋体" w:hAnsi="宋体"/>
          <w:bCs/>
          <w:sz w:val="24"/>
        </w:rPr>
      </w:pPr>
      <w:r>
        <w:rPr>
          <w:rFonts w:hint="eastAsia" w:ascii="宋体" w:hAnsi="宋体"/>
          <w:bCs/>
          <w:sz w:val="24"/>
        </w:rPr>
      </w:r>
      <w:r/>
    </w:p>
    <w:p>
      <w:pPr>
        <w:pStyle w:val="741"/>
        <w:rPr>
          <w:rFonts w:hint="eastAsia"/>
          <w:bCs/>
          <w:sz w:val="24"/>
        </w:rPr>
      </w:pPr>
      <w:r>
        <w:rPr>
          <w:rFonts w:hint="eastAsia"/>
          <w:bCs/>
          <w:sz w:val="24"/>
        </w:rPr>
      </w:r>
      <w:r/>
    </w:p>
    <w:p>
      <w:pPr>
        <w:pStyle w:val="741"/>
        <w:rPr>
          <w:rFonts w:hint="eastAsia"/>
          <w:bCs/>
          <w:sz w:val="24"/>
        </w:rPr>
      </w:pPr>
      <w:r>
        <w:rPr>
          <w:rFonts w:hint="eastAsia"/>
          <w:bCs/>
          <w:sz w:val="24"/>
        </w:rPr>
      </w:r>
      <w:r/>
    </w:p>
    <w:p>
      <w:pPr>
        <w:pStyle w:val="656"/>
        <w:jc w:val="left"/>
        <w:spacing w:line="360" w:lineRule="auto"/>
        <w:rPr>
          <w:rFonts w:hint="eastAsia" w:ascii="黑体" w:hAnsi="黑体" w:eastAsia="黑体"/>
          <w:sz w:val="32"/>
          <w:szCs w:val="32"/>
        </w:rPr>
      </w:pPr>
      <w:r>
        <w:rPr>
          <w:rFonts w:hint="eastAsia" w:ascii="黑体" w:hAnsi="黑体" w:eastAsia="黑体"/>
          <w:i/>
          <w:iCs/>
          <w:sz w:val="32"/>
          <w:szCs w:val="32"/>
          <w:u w:val="single"/>
        </w:rPr>
        <w:t xml:space="preserve">四、投标函</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752"/>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color w:val="000000"/>
        </w:rPr>
        <w:t xml:space="preserve">江宁分中心</w:t>
      </w:r>
      <w:r>
        <w:rPr>
          <w:rFonts w:hint="eastAsia" w:ascii="宋体" w:hAnsi="宋体"/>
          <w:szCs w:val="21"/>
        </w:rPr>
      </w:r>
      <w:r/>
    </w:p>
    <w:p>
      <w:pPr>
        <w:pStyle w:val="752"/>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75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5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5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5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5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5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56"/>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726"/>
        <w:ind w:firstLine="480"/>
        <w:rPr>
          <w:rFonts w:hint="eastAsia"/>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sz w:val="24"/>
          <w:szCs w:val="24"/>
          <w:lang w:val="en-US" w:eastAsia="zh-CN"/>
        </w:rPr>
        <w:t xml:space="preserve">非民营企业 </w:t>
      </w:r>
      <w:r>
        <w:rPr>
          <w:rFonts w:ascii="Wingdings" w:hAnsi="Wingdings" w:eastAsia="Wingdings" w:cs="Wingdings"/>
          <w:sz w:val="24"/>
          <w:szCs w:val="24"/>
        </w:rPr>
        <w:t xml:space="preserve">¨</w:t>
      </w:r>
      <w:r>
        <w:rPr>
          <w:rFonts w:hint="eastAsia"/>
          <w:sz w:val="24"/>
          <w:szCs w:val="24"/>
          <w:lang w:val="en-US" w:eastAsia="zh-CN"/>
        </w:rPr>
        <w:t xml:space="preserve">其他</w:t>
      </w:r>
      <w:r>
        <w:rPr>
          <w:rFonts w:hint="eastAsia"/>
          <w:sz w:val="24"/>
          <w:szCs w:val="24"/>
        </w:rPr>
        <w:t xml:space="preserve">（在对应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rPr>
          <w:rFonts w:hint="eastAsia"/>
          <w:sz w:val="24"/>
          <w:szCs w:val="24"/>
          <w:lang w:val="en-US" w:eastAsia="zh-CN"/>
        </w:rPr>
        <w:t xml:space="preserve"> </w:t>
      </w:r>
      <w:r>
        <w:rPr>
          <w:rFonts w:hint="eastAsia"/>
        </w:rPr>
      </w:r>
      <w:r/>
    </w:p>
    <w:p>
      <w:pPr>
        <w:pStyle w:val="752"/>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752"/>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52"/>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52"/>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52"/>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52"/>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52"/>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6"/>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52"/>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52"/>
        <w:ind w:left="420"/>
        <w:spacing w:before="0" w:after="0" w:line="420" w:lineRule="exact"/>
        <w:rPr>
          <w:rFonts w:hint="eastAsia" w:ascii="宋体" w:hAnsi="宋体"/>
          <w:szCs w:val="21"/>
        </w:rPr>
      </w:pPr>
      <w:r>
        <w:rPr>
          <w:rFonts w:hint="eastAsia" w:ascii="宋体" w:hAnsi="宋体"/>
          <w:szCs w:val="21"/>
        </w:rPr>
      </w:r>
      <w:r/>
    </w:p>
    <w:p>
      <w:pPr>
        <w:pStyle w:val="752"/>
        <w:ind w:left="420"/>
        <w:spacing w:before="0" w:after="0" w:line="420" w:lineRule="exact"/>
        <w:rPr>
          <w:rFonts w:hint="eastAsia" w:ascii="宋体" w:hAnsi="宋体"/>
          <w:szCs w:val="21"/>
        </w:rPr>
      </w:pPr>
      <w:r>
        <w:rPr>
          <w:rFonts w:hint="eastAsia" w:ascii="宋体" w:hAnsi="宋体"/>
          <w:szCs w:val="21"/>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jc w:val="left"/>
        <w:spacing w:line="360" w:lineRule="auto"/>
        <w:rPr>
          <w:rFonts w:hint="eastAsia" w:ascii="黑体" w:hAnsi="黑体" w:eastAsia="黑体"/>
          <w:sz w:val="32"/>
          <w:szCs w:val="32"/>
        </w:rPr>
      </w:pPr>
      <w:r>
        <w:rPr>
          <w:rFonts w:hint="eastAsia" w:ascii="黑体" w:hAnsi="黑体" w:eastAsia="黑体"/>
          <w:i/>
          <w:iCs/>
          <w:sz w:val="32"/>
          <w:szCs w:val="32"/>
          <w:u w:val="single"/>
        </w:rPr>
        <w:t xml:space="preserve">五、开标一览表</w:t>
      </w:r>
      <w:r>
        <w:rPr>
          <w:rFonts w:hint="eastAsia" w:ascii="黑体" w:hAnsi="黑体" w:eastAsia="黑体"/>
          <w:sz w:val="32"/>
          <w:szCs w:val="32"/>
        </w:rPr>
      </w:r>
      <w:r/>
    </w:p>
    <w:p>
      <w:pPr>
        <w:pStyle w:val="656"/>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56"/>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6"/>
        <w:spacing w:line="480" w:lineRule="auto"/>
        <w:rPr>
          <w:sz w:val="24"/>
          <w:szCs w:val="24"/>
        </w:rPr>
      </w:pPr>
      <w:r>
        <w:rPr>
          <w:rFonts w:hint="eastAsia" w:ascii="宋体" w:hAnsi="宋体"/>
          <w:sz w:val="24"/>
          <w:szCs w:val="24"/>
        </w:rPr>
        <w:t xml:space="preserve">项目名称：</w:t>
      </w:r>
      <w:r>
        <w:rPr>
          <w:sz w:val="24"/>
          <w:szCs w:val="24"/>
        </w:rPr>
      </w:r>
      <w:r/>
    </w:p>
    <w:p>
      <w:pPr>
        <w:pStyle w:val="656"/>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6"/>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752"/>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56"/>
        <w:spacing w:line="480" w:lineRule="auto"/>
        <w:rPr>
          <w:rFonts w:ascii="宋体" w:hAnsi="宋体"/>
          <w:sz w:val="24"/>
          <w:szCs w:val="24"/>
        </w:rPr>
      </w:pPr>
      <w:r>
        <w:rPr>
          <w:rFonts w:ascii="宋体" w:hAnsi="宋体"/>
          <w:sz w:val="24"/>
          <w:szCs w:val="24"/>
        </w:rPr>
      </w:r>
      <w:r/>
    </w:p>
    <w:p>
      <w:pPr>
        <w:pStyle w:val="656"/>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6"/>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26"/>
        <w:ind w:firstLine="640"/>
        <w:rPr>
          <w:rFonts w:hint="eastAsia"/>
        </w:rPr>
      </w:pPr>
      <w:r>
        <w:rPr>
          <w:rFonts w:hint="eastAsia"/>
        </w:rPr>
      </w:r>
      <w:r/>
    </w:p>
    <w:p>
      <w:pPr>
        <w:pStyle w:val="656"/>
        <w:spacing w:line="360" w:lineRule="auto"/>
        <w:rPr>
          <w:rFonts w:hint="eastAsia" w:ascii="黑体" w:eastAsia="黑体"/>
          <w:color w:val="000000"/>
          <w:sz w:val="32"/>
          <w:szCs w:val="32"/>
        </w:rPr>
      </w:pPr>
      <w:r>
        <w:rPr>
          <w:rFonts w:hint="eastAsia" w:ascii="黑体" w:eastAsia="黑体"/>
          <w:color w:val="000000"/>
          <w:sz w:val="32"/>
          <w:szCs w:val="32"/>
        </w:rPr>
      </w:r>
      <w:r/>
    </w:p>
    <w:p>
      <w:pPr>
        <w:pStyle w:val="726"/>
        <w:ind w:firstLine="640"/>
        <w:rPr>
          <w:rFonts w:hint="eastAsia"/>
          <w:lang w:val="en-US" w:eastAsia="zh-CN"/>
        </w:rPr>
      </w:pPr>
      <w:r>
        <w:rPr>
          <w:rFonts w:hint="eastAsia"/>
          <w:lang w:val="en-US" w:eastAsia="zh-CN"/>
        </w:rPr>
      </w:r>
      <w:r/>
    </w:p>
    <w:p>
      <w:pPr>
        <w:pStyle w:val="656"/>
        <w:rPr>
          <w:rFonts w:hint="eastAsia"/>
        </w:rPr>
      </w:pPr>
      <w:r>
        <w:rPr>
          <w:rFonts w:hint="eastAsia"/>
        </w:rPr>
      </w:r>
      <w:r/>
    </w:p>
    <w:p>
      <w:pPr>
        <w:pStyle w:val="726"/>
        <w:ind w:firstLine="640"/>
        <w:rPr>
          <w:rFonts w:hint="eastAsia"/>
          <w:lang w:val="en-US" w:eastAsia="zh-CN"/>
        </w:rPr>
      </w:pPr>
      <w:r>
        <w:rPr>
          <w:rFonts w:hint="eastAsia"/>
          <w:lang w:val="en-US" w:eastAsia="zh-CN"/>
        </w:rPr>
      </w:r>
      <w:r/>
    </w:p>
    <w:p>
      <w:pPr>
        <w:pStyle w:val="735"/>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656"/>
        <w:rPr>
          <w:rFonts w:hint="eastAsia" w:ascii="黑体" w:eastAsia="黑体"/>
          <w:color w:val="000000"/>
          <w:sz w:val="32"/>
          <w:szCs w:val="32"/>
        </w:rPr>
      </w:pPr>
      <w:r>
        <w:rPr>
          <w:rFonts w:hint="eastAsia" w:ascii="黑体" w:eastAsia="黑体"/>
          <w:color w:val="000000"/>
          <w:sz w:val="32"/>
          <w:szCs w:val="32"/>
        </w:rPr>
      </w:r>
      <w:r/>
    </w:p>
    <w:p>
      <w:pPr>
        <w:pStyle w:val="735"/>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735"/>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i/>
          <w:iCs/>
          <w:sz w:val="32"/>
          <w:szCs w:val="32"/>
          <w:u w:val="single"/>
        </w:rPr>
        <w:t xml:space="preserve">六、投标分项报价表</w:t>
      </w:r>
      <w:r>
        <w:rPr>
          <w:rFonts w:hint="eastAsia" w:ascii="黑体" w:hAnsi="黑体" w:eastAsia="黑体"/>
          <w:sz w:val="32"/>
          <w:szCs w:val="32"/>
        </w:rPr>
      </w:r>
      <w:r/>
    </w:p>
    <w:p>
      <w:pPr>
        <w:pStyle w:val="656"/>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51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845"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445"/>
        </w:trPr>
        <w:tc>
          <w:tcPr>
            <w:tcW w:w="581" w:type="dxa"/>
            <w:vAlign w:val="center"/>
            <w:vMerge w:val="continue"/>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515" w:type="dxa"/>
            <w:vAlign w:val="center"/>
            <w:textDirection w:val="lrTb"/>
            <w:noWrap w:val="false"/>
          </w:tcPr>
          <w:p>
            <w:pPr>
              <w:pStyle w:val="656"/>
              <w:jc w:val="center"/>
              <w:spacing w:line="0" w:lineRule="atLeast"/>
            </w:pPr>
            <w:r>
              <w:rPr>
                <w:rFonts w:hint="eastAsia" w:ascii="宋体" w:hAnsi="宋体"/>
                <w:sz w:val="24"/>
                <w:szCs w:val="24"/>
              </w:rPr>
              <w:t xml:space="preserve">单价（元）</w:t>
            </w:r>
            <w:r/>
          </w:p>
        </w:tc>
        <w:tc>
          <w:tcPr>
            <w:tcW w:w="184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5"/>
            <w:tcW w:w="6945" w:type="dxa"/>
            <w:vAlign w:val="center"/>
            <w:textDirection w:val="lrTb"/>
            <w:noWrap w:val="false"/>
          </w:tcPr>
          <w:p>
            <w:pPr>
              <w:pStyle w:val="656"/>
              <w:jc w:val="center"/>
              <w:spacing w:line="0" w:lineRule="atLeast"/>
              <w:rPr>
                <w:rFonts w:hint="eastAsia" w:ascii="宋体" w:hAnsi="宋体"/>
                <w:sz w:val="24"/>
                <w:szCs w:val="24"/>
              </w:rPr>
            </w:pPr>
            <w:r>
              <w:rPr>
                <w:rFonts w:hint="eastAsia" w:ascii="宋体" w:hAnsi="宋体"/>
                <w:sz w:val="24"/>
                <w:szCs w:val="24"/>
              </w:rPr>
            </w:r>
            <w:r/>
          </w:p>
        </w:tc>
      </w:tr>
    </w:tbl>
    <w:p>
      <w:pPr>
        <w:pStyle w:val="720"/>
        <w:jc w:val="both"/>
        <w:spacing w:before="0" w:beforeAutospacing="0" w:after="0" w:afterAutospacing="0"/>
        <w:rPr>
          <w:color w:val="000000"/>
        </w:rPr>
      </w:pPr>
      <w:r>
        <w:rPr>
          <w:color w:val="000000"/>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6"/>
        <w:spacing w:line="360" w:lineRule="auto"/>
        <w:rPr>
          <w:rFonts w:ascii="宋体" w:hAnsi="宋体"/>
          <w:sz w:val="24"/>
        </w:rPr>
      </w:pPr>
      <w:r>
        <w:rPr>
          <w:rFonts w:ascii="宋体" w:hAnsi="宋体"/>
          <w:sz w:val="24"/>
        </w:rPr>
      </w:r>
      <w:r/>
    </w:p>
    <w:p>
      <w:pPr>
        <w:pStyle w:val="720"/>
        <w:ind w:firstLine="480"/>
        <w:jc w:val="both"/>
        <w:spacing w:before="0" w:beforeAutospacing="0" w:after="0" w:afterAutospacing="0" w:line="360" w:lineRule="auto"/>
        <w:rPr>
          <w:color w:val="000000"/>
        </w:rPr>
      </w:pPr>
      <w:r>
        <w:rPr>
          <w:color w:val="000000"/>
        </w:rPr>
        <w:t xml:space="preserve">备注： </w:t>
      </w:r>
      <w:r>
        <w:rPr>
          <w:color w:val="000000"/>
        </w:rPr>
      </w:r>
      <w:r/>
    </w:p>
    <w:p>
      <w:pPr>
        <w:pStyle w:val="720"/>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720"/>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720"/>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3.供应商所报产品须与“第四章-项目清单”中的产品一一对应，如有缺项、漏项或者超出单价上限的，视为无效投标。</w:t>
      </w:r>
      <w:r>
        <w:rPr>
          <w:rFonts w:hint="eastAsia"/>
        </w:rPr>
        <w:t xml:space="preserve">“项目清单”中分项仅为一项的，此表无需提供。</w:t>
      </w:r>
      <w:r>
        <w:rPr>
          <w:rFonts w:hint="eastAsia"/>
          <w:color w:val="000000"/>
        </w:rPr>
      </w:r>
      <w:r/>
    </w:p>
    <w:p>
      <w:pPr>
        <w:pStyle w:val="720"/>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656"/>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5"/>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656"/>
        <w:rPr>
          <w:rFonts w:hint="eastAsia"/>
        </w:rPr>
      </w:pPr>
      <w:r>
        <w:rPr>
          <w:rFonts w:hint="eastAsia"/>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rPr>
          <w:rFonts w:hint="eastAsia" w:ascii="黑体" w:hAnsi="黑体" w:eastAsia="黑体"/>
          <w:iCs/>
          <w:sz w:val="32"/>
          <w:szCs w:val="32"/>
        </w:rPr>
      </w:pPr>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
          <w:sz w:val="32"/>
          <w:szCs w:val="32"/>
          <w:u w:val="single"/>
        </w:rPr>
        <w:t xml:space="preserve">七</w:t>
      </w:r>
      <w:bookmarkEnd w:id="44"/>
      <w:r/>
      <w:bookmarkEnd w:id="45"/>
      <w:r/>
      <w:bookmarkEnd w:id="242"/>
      <w:r>
        <w:rPr>
          <w:rFonts w:hint="eastAsia" w:ascii="黑体" w:hAnsi="黑体" w:eastAsia="黑体"/>
          <w:i/>
          <w:sz w:val="32"/>
          <w:szCs w:val="32"/>
          <w:u w:val="single"/>
        </w:rPr>
        <w:t xml:space="preserve">、技术要求响应及偏离表</w:t>
      </w:r>
      <w:r>
        <w:rPr>
          <w:rFonts w:hint="eastAsia" w:ascii="黑体" w:hAnsi="黑体" w:eastAsia="黑体"/>
          <w:iCs/>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70" w:type="dxa"/>
            <w:vAlign w:val="center"/>
            <w:textDirection w:val="lrTb"/>
            <w:noWrap w:val="false"/>
          </w:tcPr>
          <w:p>
            <w:pPr>
              <w:pStyle w:val="65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pPr>
            <w:r/>
            <w:r/>
          </w:p>
          <w:p>
            <w:pPr>
              <w:pStyle w:val="726"/>
              <w:rPr>
                <w:rFonts w:hint="eastAsia"/>
                <w:sz w:val="21"/>
                <w:lang w:val="en-US" w:eastAsia="zh-CN"/>
              </w:rPr>
            </w:pPr>
            <w:r>
              <w:rPr>
                <w:rFonts w:hint="eastAsia"/>
                <w:sz w:val="21"/>
                <w:lang w:val="en-US" w:eastAsia="zh-CN"/>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bl>
    <w:p>
      <w:pPr>
        <w:pStyle w:val="720"/>
        <w:jc w:val="both"/>
        <w:spacing w:before="0" w:beforeAutospacing="0" w:after="0" w:afterAutospacing="0"/>
      </w:p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6"/>
        <w:rPr>
          <w:rFonts w:hint="eastAsia" w:ascii="宋体" w:hAnsi="宋体"/>
          <w:sz w:val="24"/>
          <w:szCs w:val="24"/>
        </w:rPr>
      </w:pPr>
      <w:r>
        <w:rPr>
          <w:rFonts w:hint="eastAsia" w:ascii="宋体" w:hAnsi="宋体"/>
          <w:sz w:val="24"/>
          <w:szCs w:val="24"/>
        </w:rPr>
      </w:r>
      <w:r/>
    </w:p>
    <w:p>
      <w:pPr>
        <w:pStyle w:val="720"/>
        <w:ind w:firstLine="480"/>
        <w:jc w:val="both"/>
        <w:spacing w:before="0" w:beforeAutospacing="0" w:after="0" w:afterAutospacing="0" w:line="360" w:lineRule="auto"/>
      </w:pPr>
      <w:r>
        <w:t xml:space="preserve">备注： </w:t>
      </w:r>
      <w:r/>
    </w:p>
    <w:p>
      <w:pPr>
        <w:pStyle w:val="720"/>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20"/>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20"/>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56"/>
        <w:rPr>
          <w:rFonts w:hint="eastAsia" w:ascii="黑体" w:hAnsi="黑体" w:eastAsia="黑体"/>
          <w:iCs/>
          <w:sz w:val="32"/>
          <w:szCs w:val="32"/>
        </w:rPr>
      </w:pPr>
      <w:r/>
      <w:bookmarkStart w:id="246" w:name="_Hlt26955054"/>
      <w:r/>
      <w:bookmarkEnd w:id="246"/>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
          <w:sz w:val="32"/>
          <w:szCs w:val="32"/>
          <w:u w:val="single"/>
        </w:rPr>
        <w:t xml:space="preserve">八、商务要求响应及偏离表</w:t>
      </w:r>
      <w:r>
        <w:rPr>
          <w:rFonts w:hint="eastAsia" w:ascii="黑体" w:hAnsi="黑体" w:eastAsia="黑体"/>
          <w:iCs/>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656"/>
              <w:jc w:val="center"/>
              <w:rPr>
                <w:rFonts w:hint="eastAsia" w:ascii="宋体" w:hAnsi="宋体"/>
                <w:sz w:val="24"/>
                <w:szCs w:val="24"/>
              </w:rPr>
            </w:pPr>
            <w:r/>
            <w:bookmarkStart w:id="247" w:name="_Hlt26609391"/>
            <w:r/>
            <w:bookmarkEnd w:id="247"/>
            <w:r/>
            <w:bookmarkStart w:id="248" w:name="_Hlt26955056"/>
            <w:r/>
            <w:bookmarkEnd w:id="248"/>
            <w:r/>
            <w:bookmarkStart w:id="249" w:name="_Hlt26580838"/>
            <w:r/>
            <w:bookmarkEnd w:id="249"/>
            <w:r/>
            <w:bookmarkStart w:id="250" w:name="_Hlt26671372"/>
            <w:r/>
            <w:bookmarkEnd w:id="250"/>
            <w:r/>
            <w:bookmarkStart w:id="251" w:name="_Hlt26955064"/>
            <w:r/>
            <w:bookmarkEnd w:id="251"/>
            <w:r/>
            <w:bookmarkStart w:id="252" w:name="_Hlt24879081"/>
            <w:r/>
            <w:bookmarkEnd w:id="252"/>
            <w:r/>
            <w:bookmarkStart w:id="253" w:name="_Hlt26671343"/>
            <w:r/>
            <w:bookmarkEnd w:id="253"/>
            <w:r/>
            <w:bookmarkStart w:id="254" w:name="_Hlt26782999"/>
            <w:r/>
            <w:bookmarkEnd w:id="254"/>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81" w:type="dxa"/>
            <w:vAlign w:val="center"/>
            <w:textDirection w:val="lrTb"/>
            <w:noWrap w:val="false"/>
          </w:tcPr>
          <w:p>
            <w:pPr>
              <w:pStyle w:val="65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6"/>
              <w:jc w:val="center"/>
            </w:pPr>
            <w:r/>
            <w:r/>
          </w:p>
          <w:p>
            <w:pPr>
              <w:pStyle w:val="726"/>
              <w:rPr>
                <w:rFonts w:hint="eastAsia"/>
                <w:sz w:val="21"/>
                <w:lang w:val="en-US" w:eastAsia="zh-CN"/>
              </w:rPr>
            </w:pPr>
            <w:r>
              <w:rPr>
                <w:rFonts w:hint="eastAsia"/>
                <w:sz w:val="21"/>
                <w:lang w:val="en-US" w:eastAsia="zh-CN"/>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bl>
    <w:p>
      <w:pPr>
        <w:pStyle w:val="720"/>
        <w:jc w:val="both"/>
        <w:spacing w:before="0" w:beforeAutospacing="0" w:after="0" w:afterAutospacing="0"/>
      </w:p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6"/>
        <w:rPr>
          <w:rFonts w:hint="eastAsia" w:ascii="宋体" w:hAnsi="宋体"/>
          <w:sz w:val="24"/>
          <w:szCs w:val="24"/>
        </w:rPr>
      </w:pPr>
      <w:r>
        <w:rPr>
          <w:rFonts w:hint="eastAsia" w:ascii="宋体" w:hAnsi="宋体"/>
          <w:sz w:val="24"/>
          <w:szCs w:val="24"/>
        </w:rPr>
      </w:r>
      <w:r/>
    </w:p>
    <w:p>
      <w:pPr>
        <w:pStyle w:val="720"/>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20"/>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20"/>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56"/>
        <w:rPr>
          <w:color w:val="000000"/>
        </w:rPr>
      </w:pPr>
      <w:r>
        <w:rPr>
          <w:color w:val="000000"/>
        </w:rPr>
      </w:r>
      <w:r/>
    </w:p>
    <w:p>
      <w:pPr>
        <w:pStyle w:val="656"/>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35"/>
        <w:rPr>
          <w:rFonts w:hint="eastAsia" w:ascii="宋体" w:hAnsi="宋体" w:cs="仿宋"/>
          <w:b/>
          <w:bCs/>
          <w:color w:val="000000"/>
          <w:sz w:val="32"/>
          <w:szCs w:val="32"/>
        </w:rPr>
      </w:pPr>
      <w:r>
        <w:rPr>
          <w:rFonts w:hint="eastAsia" w:ascii="宋体" w:hAnsi="宋体" w:cs="仿宋"/>
          <w:b/>
          <w:bCs/>
          <w:color w:val="000000"/>
          <w:sz w:val="32"/>
          <w:szCs w:val="32"/>
        </w:rPr>
      </w:r>
      <w:r/>
    </w:p>
    <w:p>
      <w:pPr>
        <w:pStyle w:val="656"/>
        <w:rPr>
          <w:rFonts w:hint="eastAsia" w:ascii="宋体" w:hAnsi="宋体" w:cs="仿宋"/>
          <w:b/>
          <w:bCs/>
          <w:color w:val="000000"/>
          <w:sz w:val="32"/>
          <w:szCs w:val="32"/>
        </w:rPr>
      </w:pPr>
      <w:r>
        <w:rPr>
          <w:rFonts w:hint="eastAsia" w:ascii="宋体" w:hAnsi="宋体" w:cs="仿宋"/>
          <w:b/>
          <w:bCs/>
          <w:color w:val="000000"/>
          <w:sz w:val="32"/>
          <w:szCs w:val="32"/>
        </w:rPr>
      </w:r>
      <w:r/>
    </w:p>
    <w:p>
      <w:pPr>
        <w:pStyle w:val="735"/>
        <w:rPr>
          <w:rFonts w:hint="eastAsia"/>
          <w:color w:val="000000"/>
        </w:rPr>
      </w:pPr>
      <w:r>
        <w:rPr>
          <w:rFonts w:hint="eastAsia"/>
          <w:color w:val="000000"/>
        </w:rPr>
      </w:r>
      <w:r/>
    </w:p>
    <w:p>
      <w:pPr>
        <w:pStyle w:val="656"/>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656"/>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6"/>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35"/>
        <w:spacing w:line="360" w:lineRule="auto"/>
        <w:rPr>
          <w:rFonts w:hint="eastAsia" w:ascii="宋体" w:hAnsi="宋体"/>
          <w:sz w:val="24"/>
          <w:szCs w:val="24"/>
        </w:rPr>
      </w:pPr>
      <w:r>
        <w:rPr>
          <w:rFonts w:hint="eastAsia" w:ascii="宋体" w:hAnsi="宋体"/>
          <w:sz w:val="24"/>
          <w:szCs w:val="24"/>
        </w:rPr>
      </w:r>
      <w:r/>
    </w:p>
    <w:p>
      <w:pPr>
        <w:pStyle w:val="656"/>
        <w:spacing w:line="360" w:lineRule="auto"/>
        <w:rPr>
          <w:rFonts w:hint="eastAsia"/>
        </w:rPr>
      </w:pPr>
      <w:r>
        <w:rPr>
          <w:rFonts w:hint="eastAsia"/>
        </w:rPr>
      </w:r>
      <w:r/>
    </w:p>
    <w:p>
      <w:pPr>
        <w:pStyle w:val="65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ind w:firstLine="480"/>
        <w:spacing w:line="360" w:lineRule="auto"/>
        <w:widowControl/>
        <w:rPr>
          <w:rFonts w:hint="eastAsia" w:ascii="宋体" w:hAnsi="宋体"/>
          <w:sz w:val="24"/>
          <w:szCs w:val="24"/>
        </w:rPr>
      </w:pP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656"/>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6"/>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56"/>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35"/>
        <w:spacing w:line="360" w:lineRule="auto"/>
        <w:rPr>
          <w:rFonts w:hint="eastAsia" w:ascii="宋体" w:hAnsi="宋体"/>
          <w:sz w:val="24"/>
          <w:szCs w:val="24"/>
        </w:rPr>
      </w:pPr>
      <w:r>
        <w:rPr>
          <w:rFonts w:hint="eastAsia" w:ascii="宋体" w:hAnsi="宋体"/>
          <w:sz w:val="24"/>
          <w:szCs w:val="24"/>
        </w:rPr>
      </w:r>
      <w:r/>
    </w:p>
    <w:p>
      <w:pPr>
        <w:pStyle w:val="656"/>
        <w:spacing w:line="360" w:lineRule="auto"/>
        <w:rPr>
          <w:rFonts w:hint="eastAsia"/>
        </w:rPr>
      </w:pPr>
      <w:r>
        <w:rPr>
          <w:rFonts w:hint="eastAsia"/>
        </w:rPr>
      </w:r>
      <w:r/>
    </w:p>
    <w:p>
      <w:pPr>
        <w:pStyle w:val="65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ind w:firstLine="480"/>
        <w:spacing w:line="360" w:lineRule="auto"/>
        <w:rPr>
          <w:rFonts w:hint="eastAsia" w:ascii="宋体" w:hAnsi="宋体"/>
          <w:sz w:val="24"/>
        </w:rPr>
      </w:pPr>
      <w:r>
        <w:rPr>
          <w:rFonts w:hint="eastAsia" w:ascii="宋体" w:hAnsi="宋体"/>
          <w:sz w:val="24"/>
        </w:rPr>
      </w:r>
      <w:r/>
    </w:p>
    <w:p>
      <w:pPr>
        <w:pStyle w:val="656"/>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6"/>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56"/>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6"/>
        <w:ind w:firstLine="480"/>
        <w:spacing w:line="480" w:lineRule="exact"/>
        <w:rPr>
          <w:rFonts w:ascii="宋体" w:hAnsi="宋体"/>
          <w:sz w:val="24"/>
        </w:rPr>
      </w:pPr>
      <w:r>
        <w:rPr>
          <w:rFonts w:ascii="宋体" w:hAnsi="宋体"/>
          <w:sz w:val="24"/>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hint="eastAsia" w:ascii="宋体" w:hAnsi="宋体"/>
          <w:sz w:val="24"/>
          <w:szCs w:val="24"/>
        </w:rPr>
      </w:pPr>
      <w:r>
        <w:rPr>
          <w:rFonts w:hint="eastAsia" w:ascii="宋体" w:hAnsi="宋体"/>
          <w:sz w:val="24"/>
          <w:szCs w:val="24"/>
        </w:rPr>
      </w:r>
      <w:r/>
    </w:p>
    <w:p>
      <w:pPr>
        <w:pStyle w:val="65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6"/>
        <w:ind w:firstLine="480"/>
        <w:spacing w:line="480" w:lineRule="exact"/>
        <w:rPr>
          <w:rFonts w:hint="eastAsia" w:ascii="宋体" w:hAnsi="宋体"/>
          <w:bCs/>
          <w:sz w:val="24"/>
          <w:szCs w:val="24"/>
        </w:rPr>
      </w:pPr>
      <w:r>
        <w:rPr>
          <w:rFonts w:hint="eastAsia" w:ascii="宋体" w:hAnsi="宋体"/>
          <w:bCs/>
          <w:sz w:val="24"/>
          <w:szCs w:val="24"/>
        </w:rPr>
      </w:r>
      <w:r/>
    </w:p>
    <w:p>
      <w:pPr>
        <w:pStyle w:val="656"/>
        <w:ind w:firstLine="480"/>
        <w:spacing w:line="480" w:lineRule="exact"/>
        <w:rPr>
          <w:rFonts w:hint="eastAsia" w:ascii="宋体" w:hAnsi="宋体"/>
          <w:bCs/>
          <w:sz w:val="24"/>
          <w:szCs w:val="24"/>
        </w:rPr>
      </w:pPr>
      <w:r>
        <w:rPr>
          <w:rFonts w:hint="eastAsia" w:ascii="宋体" w:hAnsi="宋体"/>
          <w:bCs/>
          <w:sz w:val="24"/>
          <w:szCs w:val="24"/>
        </w:rPr>
      </w:r>
      <w:r/>
    </w:p>
    <w:p>
      <w:pPr>
        <w:pStyle w:val="65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6"/>
        <w:ind w:firstLine="480"/>
        <w:spacing w:line="480" w:lineRule="exact"/>
        <w:rPr>
          <w:rFonts w:hint="eastAsia" w:ascii="宋体" w:hAnsi="宋体" w:cs="仿宋"/>
          <w:b/>
          <w:bCs/>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Lucida Sans Unicode">
    <w:panose1 w:val="020B060203050402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２９</w:t>
    </w:r>
    <w:r>
      <w:rPr>
        <w:rFonts w:ascii="宋体" w:hAnsi="宋体"/>
      </w:rPr>
      <w:fldChar w:fldCharType="end"/>
    </w:r>
    <w:r>
      <w:rPr>
        <w:rStyle w:val="730"/>
        <w:rFonts w:ascii="宋体" w:hAnsi="宋体"/>
      </w:rPr>
    </w:r>
    <w:r/>
  </w:p>
  <w:p>
    <w:pPr>
      <w:pStyle w:val="7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rPr>
        <w:rStyle w:val="730"/>
      </w:rPr>
    </w:r>
    <w:r/>
  </w:p>
  <w:p>
    <w:pPr>
      <w:pStyle w:val="7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pStyle w:val="6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44"/>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1"/>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8"/>
    <w:link w:val="656"/>
    <w:qFormat/>
    <w:pPr>
      <w:jc w:val="both"/>
      <w:widowControl w:val="off"/>
    </w:pPr>
    <w:rPr>
      <w:sz w:val="21"/>
      <w:szCs w:val="21"/>
      <w:lang w:val="en-US" w:eastAsia="zh-CN" w:bidi="ar-SA"/>
    </w:rPr>
  </w:style>
  <w:style w:type="paragraph" w:styleId="657">
    <w:name w:val="标题 1"/>
    <w:basedOn w:val="656"/>
    <w:next w:val="656"/>
    <w:link w:val="669"/>
    <w:qFormat/>
    <w:pPr>
      <w:jc w:val="center"/>
      <w:keepNext/>
      <w:outlineLvl w:val="0"/>
    </w:pPr>
    <w:rPr>
      <w:rFonts w:ascii="楷体_GB2312" w:eastAsia="楷体_GB2312"/>
      <w:sz w:val="28"/>
      <w:szCs w:val="28"/>
    </w:rPr>
  </w:style>
  <w:style w:type="paragraph" w:styleId="658">
    <w:name w:val="标题 2"/>
    <w:basedOn w:val="656"/>
    <w:next w:val="671"/>
    <w:link w:val="670"/>
    <w:qFormat/>
    <w:pPr>
      <w:jc w:val="center"/>
      <w:keepLines/>
      <w:keepNext/>
      <w:spacing w:before="260" w:after="260" w:line="416" w:lineRule="auto"/>
      <w:outlineLvl w:val="1"/>
    </w:pPr>
    <w:rPr>
      <w:rFonts w:ascii="Arial" w:hAnsi="Arial" w:eastAsia="幼圆"/>
      <w:b/>
      <w:bCs/>
      <w:sz w:val="44"/>
      <w:szCs w:val="44"/>
    </w:rPr>
  </w:style>
  <w:style w:type="paragraph" w:styleId="659">
    <w:name w:val="标题 3"/>
    <w:basedOn w:val="656"/>
    <w:next w:val="671"/>
    <w:link w:val="673"/>
    <w:qFormat/>
    <w:pPr>
      <w:keepLines/>
      <w:keepNext/>
      <w:spacing w:before="260" w:after="260" w:line="416" w:lineRule="auto"/>
      <w:outlineLvl w:val="2"/>
    </w:pPr>
    <w:rPr>
      <w:b/>
      <w:bCs/>
      <w:sz w:val="32"/>
      <w:szCs w:val="32"/>
    </w:rPr>
  </w:style>
  <w:style w:type="paragraph" w:styleId="660">
    <w:name w:val="标题 4"/>
    <w:basedOn w:val="656"/>
    <w:next w:val="671"/>
    <w:link w:val="674"/>
    <w:qFormat/>
    <w:pPr>
      <w:keepLines/>
      <w:keepNext/>
      <w:spacing w:before="280" w:after="290" w:line="376" w:lineRule="auto"/>
      <w:outlineLvl w:val="3"/>
    </w:pPr>
    <w:rPr>
      <w:rFonts w:ascii="Arial" w:hAnsi="Arial" w:eastAsia="黑体"/>
      <w:b/>
      <w:bCs/>
      <w:sz w:val="28"/>
      <w:szCs w:val="28"/>
    </w:rPr>
  </w:style>
  <w:style w:type="paragraph" w:styleId="661">
    <w:name w:val="标题 5"/>
    <w:basedOn w:val="656"/>
    <w:next w:val="671"/>
    <w:link w:val="675"/>
    <w:qFormat/>
    <w:pPr>
      <w:keepNext/>
      <w:outlineLvl w:val="4"/>
    </w:pPr>
    <w:rPr>
      <w:rFonts w:ascii="宋体"/>
      <w:color w:val="000000"/>
      <w:sz w:val="28"/>
      <w:szCs w:val="28"/>
    </w:rPr>
  </w:style>
  <w:style w:type="paragraph" w:styleId="662">
    <w:name w:val="标题 6"/>
    <w:basedOn w:val="656"/>
    <w:next w:val="656"/>
    <w:link w:val="676"/>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标题 7"/>
    <w:basedOn w:val="656"/>
    <w:next w:val="656"/>
    <w:link w:val="677"/>
    <w:qFormat/>
    <w:pPr>
      <w:numPr>
        <w:ilvl w:val="6"/>
        <w:numId w:val="1"/>
      </w:numPr>
      <w:keepLines/>
      <w:keepNext/>
      <w:spacing w:before="240" w:after="64" w:line="320" w:lineRule="auto"/>
      <w:outlineLvl w:val="6"/>
    </w:pPr>
    <w:rPr>
      <w:b/>
      <w:bCs/>
      <w:sz w:val="24"/>
      <w:szCs w:val="24"/>
    </w:rPr>
  </w:style>
  <w:style w:type="paragraph" w:styleId="664">
    <w:name w:val="标题 8"/>
    <w:basedOn w:val="656"/>
    <w:next w:val="656"/>
    <w:link w:val="678"/>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标题 9"/>
    <w:basedOn w:val="656"/>
    <w:next w:val="656"/>
    <w:link w:val="679"/>
    <w:qFormat/>
    <w:pPr>
      <w:numPr>
        <w:ilvl w:val="8"/>
        <w:numId w:val="1"/>
      </w:numPr>
      <w:keepLines/>
      <w:keepNext/>
      <w:spacing w:before="240" w:after="64" w:line="320" w:lineRule="auto"/>
      <w:outlineLvl w:val="8"/>
    </w:pPr>
    <w:rPr>
      <w:rFonts w:ascii="Arial" w:hAnsi="Arial" w:eastAsia="黑体"/>
      <w:sz w:val="20"/>
    </w:rPr>
  </w:style>
  <w:style w:type="character" w:styleId="666">
    <w:name w:val="默认段落字体"/>
    <w:next w:val="666"/>
    <w:link w:val="656"/>
    <w:uiPriority w:val="1"/>
    <w:unhideWhenUsed/>
  </w:style>
  <w:style w:type="table" w:styleId="667">
    <w:name w:val="普通表格"/>
    <w:next w:val="667"/>
    <w:link w:val="656"/>
    <w:uiPriority w:val="99"/>
    <w:unhideWhenUsed/>
    <w:tblPr/>
  </w:style>
  <w:style w:type="paragraph" w:styleId="668">
    <w:name w:val="引文目录标题"/>
    <w:basedOn w:val="656"/>
    <w:next w:val="656"/>
    <w:link w:val="656"/>
    <w:qFormat/>
    <w:pPr>
      <w:spacing w:before="120"/>
    </w:pPr>
    <w:rPr>
      <w:rFonts w:ascii="Arial" w:hAnsi="Arial" w:eastAsia="宋体" w:cs="Times New Roman"/>
      <w:b/>
      <w:bCs/>
      <w:szCs w:val="24"/>
    </w:rPr>
  </w:style>
  <w:style w:type="character" w:styleId="669">
    <w:name w:val="标题 1 Char"/>
    <w:next w:val="669"/>
    <w:link w:val="657"/>
    <w:rPr>
      <w:rFonts w:ascii="楷体_GB2312" w:hAnsi="Times New Roman" w:eastAsia="楷体_GB2312" w:cs="Times New Roman"/>
      <w:sz w:val="28"/>
      <w:szCs w:val="28"/>
    </w:rPr>
  </w:style>
  <w:style w:type="character" w:styleId="670">
    <w:name w:val="标题 2 Char"/>
    <w:next w:val="670"/>
    <w:link w:val="658"/>
    <w:rPr>
      <w:rFonts w:ascii="Arial" w:hAnsi="Arial" w:eastAsia="幼圆" w:cs="Arial"/>
      <w:b/>
      <w:bCs/>
      <w:sz w:val="44"/>
      <w:szCs w:val="44"/>
    </w:rPr>
  </w:style>
  <w:style w:type="paragraph" w:styleId="671">
    <w:name w:val="正文缩进"/>
    <w:basedOn w:val="656"/>
    <w:next w:val="671"/>
    <w:link w:val="672"/>
    <w:pPr>
      <w:ind w:firstLine="420"/>
    </w:pPr>
    <w:rPr>
      <w:sz w:val="20"/>
    </w:rPr>
  </w:style>
  <w:style w:type="character" w:styleId="672">
    <w:name w:val="正文缩进 Char"/>
    <w:next w:val="672"/>
    <w:link w:val="671"/>
    <w:rPr>
      <w:rFonts w:ascii="Times New Roman" w:hAnsi="Times New Roman" w:eastAsia="宋体" w:cs="Times New Roman"/>
      <w:szCs w:val="21"/>
    </w:rPr>
  </w:style>
  <w:style w:type="character" w:styleId="673">
    <w:name w:val="标题 3 Char"/>
    <w:next w:val="673"/>
    <w:link w:val="659"/>
    <w:rPr>
      <w:rFonts w:ascii="Times New Roman" w:hAnsi="Times New Roman" w:eastAsia="宋体" w:cs="Times New Roman"/>
      <w:b/>
      <w:bCs/>
      <w:sz w:val="32"/>
      <w:szCs w:val="32"/>
    </w:rPr>
  </w:style>
  <w:style w:type="character" w:styleId="674">
    <w:name w:val="标题 4 Char"/>
    <w:next w:val="674"/>
    <w:link w:val="660"/>
    <w:rPr>
      <w:rFonts w:ascii="Arial" w:hAnsi="Arial" w:eastAsia="黑体" w:cs="Arial"/>
      <w:b/>
      <w:bCs/>
      <w:sz w:val="28"/>
      <w:szCs w:val="28"/>
    </w:rPr>
  </w:style>
  <w:style w:type="character" w:styleId="675">
    <w:name w:val="标题 5 Char"/>
    <w:next w:val="675"/>
    <w:link w:val="661"/>
    <w:rPr>
      <w:rFonts w:ascii="宋体" w:hAnsi="Times New Roman" w:eastAsia="宋体" w:cs="Times New Roman"/>
      <w:color w:val="000000"/>
      <w:sz w:val="28"/>
      <w:szCs w:val="28"/>
    </w:rPr>
  </w:style>
  <w:style w:type="character" w:styleId="676">
    <w:name w:val="标题 6 Char"/>
    <w:next w:val="676"/>
    <w:link w:val="662"/>
    <w:rPr>
      <w:rFonts w:ascii="Arial" w:hAnsi="Arial" w:eastAsia="黑体" w:cs="Times New Roman"/>
      <w:b/>
      <w:bCs/>
      <w:sz w:val="24"/>
      <w:szCs w:val="24"/>
    </w:rPr>
  </w:style>
  <w:style w:type="character" w:styleId="677">
    <w:name w:val="标题 7 Char"/>
    <w:next w:val="677"/>
    <w:link w:val="663"/>
    <w:rPr>
      <w:rFonts w:ascii="Times New Roman" w:hAnsi="Times New Roman" w:eastAsia="宋体" w:cs="Times New Roman"/>
      <w:b/>
      <w:bCs/>
      <w:sz w:val="24"/>
      <w:szCs w:val="24"/>
    </w:rPr>
  </w:style>
  <w:style w:type="character" w:styleId="678">
    <w:name w:val="标题 8 Char"/>
    <w:next w:val="678"/>
    <w:link w:val="664"/>
    <w:rPr>
      <w:rFonts w:ascii="Arial" w:hAnsi="Arial" w:eastAsia="黑体" w:cs="Times New Roman"/>
      <w:sz w:val="24"/>
      <w:szCs w:val="24"/>
    </w:rPr>
  </w:style>
  <w:style w:type="character" w:styleId="679">
    <w:name w:val="标题 9 Char"/>
    <w:next w:val="679"/>
    <w:link w:val="665"/>
    <w:rPr>
      <w:rFonts w:ascii="Arial" w:hAnsi="Arial" w:eastAsia="黑体" w:cs="Times New Roman"/>
      <w:szCs w:val="21"/>
    </w:rPr>
  </w:style>
  <w:style w:type="paragraph" w:styleId="680">
    <w:name w:val="列表 3"/>
    <w:basedOn w:val="656"/>
    <w:next w:val="680"/>
    <w:link w:val="656"/>
    <w:pPr>
      <w:ind w:left="100" w:hanging="200"/>
    </w:pPr>
  </w:style>
  <w:style w:type="paragraph" w:styleId="681">
    <w:name w:val="目录 7"/>
    <w:basedOn w:val="656"/>
    <w:next w:val="656"/>
    <w:link w:val="656"/>
    <w:semiHidden/>
    <w:pPr>
      <w:ind w:left="1260"/>
      <w:jc w:val="left"/>
    </w:pPr>
  </w:style>
  <w:style w:type="paragraph" w:styleId="682">
    <w:name w:val="文档结构图"/>
    <w:basedOn w:val="656"/>
    <w:next w:val="682"/>
    <w:link w:val="683"/>
    <w:semiHidden/>
    <w:pPr>
      <w:shd w:val="clear" w:color="auto" w:fill="000080"/>
    </w:pPr>
    <w:rPr>
      <w:sz w:val="20"/>
    </w:rPr>
  </w:style>
  <w:style w:type="character" w:styleId="683">
    <w:name w:val="文档结构图 Char"/>
    <w:next w:val="683"/>
    <w:link w:val="682"/>
    <w:semiHidden/>
    <w:rPr>
      <w:rFonts w:ascii="Times New Roman" w:hAnsi="Times New Roman" w:eastAsia="宋体" w:cs="Times New Roman"/>
      <w:szCs w:val="21"/>
      <w:shd w:val="clear" w:color="auto" w:fill="000080"/>
    </w:rPr>
  </w:style>
  <w:style w:type="paragraph" w:styleId="684">
    <w:name w:val="批注文字"/>
    <w:basedOn w:val="656"/>
    <w:next w:val="684"/>
    <w:link w:val="685"/>
    <w:semiHidden/>
    <w:pPr>
      <w:jc w:val="left"/>
    </w:pPr>
    <w:rPr>
      <w:sz w:val="20"/>
    </w:rPr>
  </w:style>
  <w:style w:type="character" w:styleId="685">
    <w:name w:val="批注文字 Char"/>
    <w:next w:val="685"/>
    <w:link w:val="684"/>
    <w:semiHidden/>
    <w:rPr>
      <w:rFonts w:ascii="Times New Roman" w:hAnsi="Times New Roman" w:eastAsia="宋体" w:cs="Times New Roman"/>
      <w:szCs w:val="21"/>
    </w:rPr>
  </w:style>
  <w:style w:type="paragraph" w:styleId="686">
    <w:name w:val="正文文本 3"/>
    <w:basedOn w:val="656"/>
    <w:next w:val="686"/>
    <w:link w:val="687"/>
    <w:rPr>
      <w:rFonts w:ascii="仿宋_GB2312" w:hAnsi="Arial" w:eastAsia="仿宋_GB2312"/>
      <w:sz w:val="32"/>
      <w:szCs w:val="32"/>
    </w:rPr>
  </w:style>
  <w:style w:type="character" w:styleId="687">
    <w:name w:val="正文文本 3 Char"/>
    <w:next w:val="687"/>
    <w:link w:val="686"/>
    <w:rPr>
      <w:rFonts w:ascii="仿宋_GB2312" w:hAnsi="Arial" w:eastAsia="仿宋_GB2312" w:cs="Times New Roman"/>
      <w:sz w:val="32"/>
      <w:szCs w:val="32"/>
    </w:rPr>
  </w:style>
  <w:style w:type="paragraph" w:styleId="688">
    <w:name w:val="正文文本"/>
    <w:basedOn w:val="656"/>
    <w:next w:val="688"/>
    <w:link w:val="689"/>
    <w:rPr>
      <w:rFonts w:ascii="楷体_GB2312" w:hAnsi="Arial" w:eastAsia="楷体_GB2312"/>
      <w:sz w:val="28"/>
      <w:szCs w:val="28"/>
    </w:rPr>
  </w:style>
  <w:style w:type="character" w:styleId="689">
    <w:name w:val="正文文本 Char"/>
    <w:next w:val="689"/>
    <w:link w:val="688"/>
    <w:rPr>
      <w:rFonts w:ascii="楷体_GB2312" w:hAnsi="Arial" w:eastAsia="楷体_GB2312" w:cs="Times New Roman"/>
      <w:sz w:val="28"/>
      <w:szCs w:val="28"/>
    </w:rPr>
  </w:style>
  <w:style w:type="paragraph" w:styleId="690">
    <w:name w:val="正文文本缩进"/>
    <w:basedOn w:val="656"/>
    <w:next w:val="692"/>
    <w:link w:val="691"/>
    <w:pPr>
      <w:ind w:firstLine="645"/>
    </w:pPr>
    <w:rPr>
      <w:rFonts w:ascii="楷体_GB2312" w:eastAsia="楷体_GB2312"/>
      <w:sz w:val="32"/>
      <w:szCs w:val="32"/>
    </w:rPr>
  </w:style>
  <w:style w:type="character" w:styleId="691">
    <w:name w:val="正文文本缩进 Char"/>
    <w:next w:val="691"/>
    <w:link w:val="690"/>
    <w:rPr>
      <w:rFonts w:ascii="楷体_GB2312" w:hAnsi="Times New Roman" w:eastAsia="楷体_GB2312" w:cs="Times New Roman"/>
      <w:sz w:val="32"/>
      <w:szCs w:val="32"/>
    </w:rPr>
  </w:style>
  <w:style w:type="paragraph" w:styleId="692">
    <w:name w:val="寄信人地址"/>
    <w:basedOn w:val="656"/>
    <w:next w:val="692"/>
    <w:link w:val="656"/>
    <w:qFormat/>
    <w:rPr>
      <w:rFonts w:ascii="Arial" w:hAnsi="Arial" w:eastAsia="宋体" w:cs="宋体"/>
    </w:rPr>
  </w:style>
  <w:style w:type="paragraph" w:styleId="693">
    <w:name w:val="列表 2"/>
    <w:basedOn w:val="656"/>
    <w:next w:val="693"/>
    <w:link w:val="656"/>
    <w:pPr>
      <w:ind w:left="100" w:hanging="200"/>
    </w:pPr>
  </w:style>
  <w:style w:type="paragraph" w:styleId="694">
    <w:name w:val="目录 5"/>
    <w:basedOn w:val="656"/>
    <w:next w:val="656"/>
    <w:link w:val="656"/>
    <w:semiHidden/>
    <w:pPr>
      <w:ind w:left="840"/>
      <w:jc w:val="left"/>
    </w:pPr>
  </w:style>
  <w:style w:type="paragraph" w:styleId="695">
    <w:name w:val="目录 3"/>
    <w:basedOn w:val="656"/>
    <w:next w:val="656"/>
    <w:link w:val="656"/>
    <w:semiHidden/>
    <w:pPr>
      <w:ind w:left="420"/>
      <w:jc w:val="left"/>
    </w:pPr>
    <w:rPr>
      <w:i/>
      <w:iCs/>
      <w:szCs w:val="24"/>
    </w:rPr>
  </w:style>
  <w:style w:type="paragraph" w:styleId="696">
    <w:name w:val="纯文本"/>
    <w:basedOn w:val="656"/>
    <w:next w:val="696"/>
    <w:link w:val="697"/>
    <w:rPr>
      <w:rFonts w:ascii="宋体" w:hAnsi="Courier New"/>
      <w:sz w:val="20"/>
    </w:rPr>
  </w:style>
  <w:style w:type="character" w:styleId="697">
    <w:name w:val="纯文本 Char"/>
    <w:next w:val="697"/>
    <w:link w:val="696"/>
    <w:rPr>
      <w:rFonts w:ascii="宋体" w:hAnsi="Courier New" w:eastAsia="宋体" w:cs="Courier New"/>
      <w:szCs w:val="21"/>
    </w:rPr>
  </w:style>
  <w:style w:type="paragraph" w:styleId="698">
    <w:name w:val="目录 8"/>
    <w:basedOn w:val="656"/>
    <w:next w:val="656"/>
    <w:link w:val="656"/>
    <w:semiHidden/>
    <w:pPr>
      <w:ind w:left="1470"/>
      <w:jc w:val="left"/>
    </w:pPr>
  </w:style>
  <w:style w:type="paragraph" w:styleId="699">
    <w:name w:val="日期"/>
    <w:basedOn w:val="656"/>
    <w:next w:val="656"/>
    <w:link w:val="700"/>
    <w:rPr>
      <w:sz w:val="24"/>
      <w:szCs w:val="24"/>
    </w:rPr>
  </w:style>
  <w:style w:type="character" w:styleId="700">
    <w:name w:val="日期 Char"/>
    <w:next w:val="700"/>
    <w:link w:val="699"/>
    <w:rPr>
      <w:rFonts w:ascii="Times New Roman" w:hAnsi="Times New Roman" w:eastAsia="宋体" w:cs="Times New Roman"/>
      <w:sz w:val="24"/>
      <w:szCs w:val="24"/>
    </w:rPr>
  </w:style>
  <w:style w:type="paragraph" w:styleId="701">
    <w:name w:val="正文文本缩进 2"/>
    <w:basedOn w:val="656"/>
    <w:next w:val="701"/>
    <w:link w:val="702"/>
    <w:pPr>
      <w:ind w:left="630" w:firstLine="645"/>
    </w:pPr>
    <w:rPr>
      <w:rFonts w:ascii="Arial" w:hAnsi="Arial" w:eastAsia="仿宋_GB2312"/>
      <w:sz w:val="32"/>
      <w:szCs w:val="32"/>
    </w:rPr>
  </w:style>
  <w:style w:type="character" w:styleId="702">
    <w:name w:val="正文文本缩进 2 Char"/>
    <w:next w:val="702"/>
    <w:link w:val="701"/>
    <w:rPr>
      <w:rFonts w:ascii="Arial" w:hAnsi="Arial" w:eastAsia="仿宋_GB2312" w:cs="Arial"/>
      <w:sz w:val="32"/>
      <w:szCs w:val="32"/>
    </w:rPr>
  </w:style>
  <w:style w:type="paragraph" w:styleId="703">
    <w:name w:val="批注框文本"/>
    <w:basedOn w:val="656"/>
    <w:next w:val="703"/>
    <w:link w:val="704"/>
    <w:semiHidden/>
    <w:rPr>
      <w:sz w:val="18"/>
      <w:szCs w:val="18"/>
    </w:rPr>
  </w:style>
  <w:style w:type="character" w:styleId="704">
    <w:name w:val="批注框文本 Char"/>
    <w:next w:val="704"/>
    <w:link w:val="703"/>
    <w:semiHidden/>
    <w:rPr>
      <w:rFonts w:ascii="Times New Roman" w:hAnsi="Times New Roman" w:eastAsia="宋体" w:cs="Times New Roman"/>
      <w:sz w:val="18"/>
      <w:szCs w:val="18"/>
    </w:rPr>
  </w:style>
  <w:style w:type="paragraph" w:styleId="705">
    <w:name w:val="页脚"/>
    <w:basedOn w:val="656"/>
    <w:next w:val="705"/>
    <w:link w:val="706"/>
    <w:pPr>
      <w:jc w:val="left"/>
      <w:tabs>
        <w:tab w:val="center" w:pos="4153" w:leader="none"/>
        <w:tab w:val="right" w:pos="8306" w:leader="none"/>
      </w:tabs>
    </w:pPr>
    <w:rPr>
      <w:sz w:val="18"/>
      <w:szCs w:val="18"/>
    </w:rPr>
  </w:style>
  <w:style w:type="character" w:styleId="706">
    <w:name w:val="页脚 Char"/>
    <w:next w:val="706"/>
    <w:link w:val="705"/>
    <w:rPr>
      <w:rFonts w:ascii="Times New Roman" w:hAnsi="Times New Roman" w:eastAsia="宋体" w:cs="Times New Roman"/>
      <w:sz w:val="18"/>
      <w:szCs w:val="18"/>
    </w:rPr>
  </w:style>
  <w:style w:type="paragraph" w:styleId="707">
    <w:name w:val="页眉"/>
    <w:basedOn w:val="656"/>
    <w:next w:val="707"/>
    <w:link w:val="708"/>
    <w:pPr>
      <w:jc w:val="center"/>
      <w:tabs>
        <w:tab w:val="center" w:pos="4153" w:leader="none"/>
        <w:tab w:val="right" w:pos="8306" w:leader="none"/>
      </w:tabs>
      <w:pBdr>
        <w:bottom w:val="single" w:color="000000" w:sz="6" w:space="1"/>
      </w:pBdr>
    </w:pPr>
    <w:rPr>
      <w:sz w:val="18"/>
      <w:szCs w:val="18"/>
    </w:rPr>
  </w:style>
  <w:style w:type="character" w:styleId="708">
    <w:name w:val="页眉 Char"/>
    <w:next w:val="708"/>
    <w:link w:val="707"/>
    <w:rPr>
      <w:rFonts w:ascii="Times New Roman" w:hAnsi="Times New Roman" w:eastAsia="宋体" w:cs="Times New Roman"/>
      <w:sz w:val="18"/>
      <w:szCs w:val="18"/>
    </w:rPr>
  </w:style>
  <w:style w:type="paragraph" w:styleId="709">
    <w:name w:val="目录 1"/>
    <w:basedOn w:val="656"/>
    <w:next w:val="656"/>
    <w:link w:val="656"/>
    <w:semiHidden/>
    <w:pPr>
      <w:jc w:val="left"/>
      <w:spacing w:before="120" w:after="120" w:line="400" w:lineRule="exact"/>
      <w:tabs>
        <w:tab w:val="right" w:pos="8720" w:leader="dot"/>
      </w:tabs>
    </w:pPr>
    <w:rPr>
      <w:rFonts w:ascii="宋体" w:hAnsi="宋体"/>
      <w:caps/>
      <w:sz w:val="24"/>
      <w:szCs w:val="24"/>
    </w:rPr>
  </w:style>
  <w:style w:type="paragraph" w:styleId="710">
    <w:name w:val="目录 4"/>
    <w:basedOn w:val="656"/>
    <w:next w:val="656"/>
    <w:link w:val="656"/>
    <w:semiHidden/>
    <w:pPr>
      <w:ind w:left="630"/>
      <w:jc w:val="left"/>
    </w:pPr>
  </w:style>
  <w:style w:type="paragraph" w:styleId="711">
    <w:name w:val="列表"/>
    <w:basedOn w:val="656"/>
    <w:next w:val="711"/>
    <w:link w:val="656"/>
    <w:pPr>
      <w:ind w:left="200" w:hanging="200"/>
    </w:pPr>
  </w:style>
  <w:style w:type="paragraph" w:styleId="712">
    <w:name w:val="目录 6"/>
    <w:basedOn w:val="656"/>
    <w:next w:val="656"/>
    <w:link w:val="656"/>
    <w:semiHidden/>
    <w:pPr>
      <w:ind w:left="1050"/>
      <w:jc w:val="left"/>
    </w:pPr>
  </w:style>
  <w:style w:type="paragraph" w:styleId="713">
    <w:name w:val="正文文本缩进 3"/>
    <w:basedOn w:val="656"/>
    <w:next w:val="713"/>
    <w:link w:val="714"/>
    <w:pPr>
      <w:ind w:left="645" w:firstLine="645"/>
    </w:pPr>
    <w:rPr>
      <w:rFonts w:ascii="Arial" w:hAnsi="Arial" w:eastAsia="仿宋_GB2312"/>
      <w:color w:val="ffff00"/>
      <w:sz w:val="32"/>
      <w:szCs w:val="32"/>
    </w:rPr>
  </w:style>
  <w:style w:type="character" w:styleId="714">
    <w:name w:val="正文文本缩进 3 Char"/>
    <w:next w:val="714"/>
    <w:link w:val="713"/>
    <w:rPr>
      <w:rFonts w:ascii="Arial" w:hAnsi="Arial" w:eastAsia="仿宋_GB2312" w:cs="Arial"/>
      <w:color w:val="ffff00"/>
      <w:sz w:val="32"/>
      <w:szCs w:val="32"/>
    </w:rPr>
  </w:style>
  <w:style w:type="paragraph" w:styleId="715">
    <w:name w:val="图表目录"/>
    <w:basedOn w:val="656"/>
    <w:next w:val="656"/>
    <w:link w:val="656"/>
    <w:semiHidden/>
    <w:pPr>
      <w:ind w:left="840" w:hanging="420"/>
    </w:pPr>
  </w:style>
  <w:style w:type="paragraph" w:styleId="716">
    <w:name w:val="目录 2"/>
    <w:basedOn w:val="656"/>
    <w:next w:val="656"/>
    <w:link w:val="656"/>
    <w:semiHidden/>
    <w:pPr>
      <w:ind w:left="210"/>
      <w:jc w:val="left"/>
    </w:pPr>
    <w:rPr>
      <w:smallCaps/>
      <w:szCs w:val="24"/>
    </w:rPr>
  </w:style>
  <w:style w:type="paragraph" w:styleId="717">
    <w:name w:val="目录 9"/>
    <w:basedOn w:val="656"/>
    <w:next w:val="656"/>
    <w:link w:val="656"/>
    <w:semiHidden/>
    <w:pPr>
      <w:ind w:left="1680"/>
      <w:jc w:val="left"/>
    </w:pPr>
  </w:style>
  <w:style w:type="paragraph" w:styleId="718">
    <w:name w:val="正文文本 2"/>
    <w:basedOn w:val="656"/>
    <w:next w:val="718"/>
    <w:link w:val="719"/>
    <w:pPr>
      <w:jc w:val="center"/>
      <w:widowControl/>
    </w:pPr>
    <w:rPr>
      <w:rFonts w:ascii="楷体_GB2312" w:eastAsia="楷体_GB2312"/>
      <w:sz w:val="28"/>
      <w:szCs w:val="28"/>
    </w:rPr>
  </w:style>
  <w:style w:type="character" w:styleId="719">
    <w:name w:val="正文文本 2 Char"/>
    <w:next w:val="719"/>
    <w:link w:val="718"/>
    <w:rPr>
      <w:rFonts w:ascii="楷体_GB2312" w:hAnsi="Times New Roman" w:eastAsia="楷体_GB2312" w:cs="Times New Roman"/>
      <w:sz w:val="28"/>
      <w:szCs w:val="28"/>
    </w:rPr>
  </w:style>
  <w:style w:type="paragraph" w:styleId="720">
    <w:name w:val="普通(网站)"/>
    <w:basedOn w:val="656"/>
    <w:next w:val="720"/>
    <w:link w:val="656"/>
    <w:uiPriority w:val="99"/>
    <w:pPr>
      <w:jc w:val="left"/>
      <w:spacing w:before="100" w:beforeAutospacing="1" w:after="100" w:afterAutospacing="1"/>
      <w:widowControl/>
    </w:pPr>
    <w:rPr>
      <w:rFonts w:ascii="宋体" w:hAnsi="宋体" w:cs="宋体"/>
      <w:sz w:val="24"/>
      <w:szCs w:val="24"/>
    </w:rPr>
  </w:style>
  <w:style w:type="paragraph" w:styleId="721">
    <w:name w:val="索引 1"/>
    <w:basedOn w:val="656"/>
    <w:next w:val="656"/>
    <w:link w:val="656"/>
    <w:semiHidden/>
    <w:pPr>
      <w:spacing w:line="240" w:lineRule="atLeast"/>
    </w:pPr>
    <w:rPr>
      <w:b/>
      <w:bCs/>
    </w:rPr>
  </w:style>
  <w:style w:type="paragraph" w:styleId="722">
    <w:name w:val="批注主题"/>
    <w:basedOn w:val="684"/>
    <w:next w:val="684"/>
    <w:link w:val="723"/>
    <w:semiHidden/>
    <w:rPr>
      <w:b/>
      <w:bCs/>
    </w:rPr>
  </w:style>
  <w:style w:type="character" w:styleId="723">
    <w:name w:val="批注主题 Char"/>
    <w:next w:val="723"/>
    <w:link w:val="722"/>
    <w:semiHidden/>
    <w:rPr>
      <w:rFonts w:ascii="Times New Roman" w:hAnsi="Times New Roman" w:eastAsia="宋体" w:cs="Times New Roman"/>
      <w:b/>
      <w:bCs/>
      <w:szCs w:val="21"/>
    </w:rPr>
  </w:style>
  <w:style w:type="paragraph" w:styleId="724">
    <w:name w:val="正文首行缩进"/>
    <w:basedOn w:val="656"/>
    <w:next w:val="724"/>
    <w:link w:val="725"/>
    <w:pPr>
      <w:ind w:firstLine="200"/>
      <w:spacing w:line="360" w:lineRule="auto"/>
    </w:pPr>
    <w:rPr>
      <w:rFonts w:ascii="仿宋_GB2312" w:eastAsia="仿宋_GB2312"/>
      <w:sz w:val="30"/>
      <w:szCs w:val="30"/>
    </w:rPr>
  </w:style>
  <w:style w:type="character" w:styleId="725">
    <w:name w:val="正文首行缩进 Char"/>
    <w:next w:val="725"/>
    <w:link w:val="724"/>
    <w:rPr>
      <w:rFonts w:ascii="仿宋_GB2312" w:hAnsi="Times New Roman" w:eastAsia="仿宋_GB2312" w:cs="Times New Roman"/>
      <w:sz w:val="30"/>
      <w:szCs w:val="30"/>
    </w:rPr>
  </w:style>
  <w:style w:type="paragraph" w:styleId="726">
    <w:name w:val="正文首行缩进 2"/>
    <w:basedOn w:val="690"/>
    <w:next w:val="656"/>
    <w:link w:val="727"/>
    <w:pPr>
      <w:ind w:firstLine="420"/>
      <w:spacing w:line="360" w:lineRule="auto"/>
    </w:pPr>
    <w:rPr>
      <w:rFonts w:ascii="宋体" w:hAnsi="宋体" w:eastAsia="宋体"/>
      <w:szCs w:val="20"/>
    </w:rPr>
  </w:style>
  <w:style w:type="character" w:styleId="727">
    <w:name w:val="正文首行缩进 2 Char"/>
    <w:next w:val="727"/>
    <w:link w:val="726"/>
    <w:rPr>
      <w:rFonts w:ascii="宋体" w:hAnsi="宋体" w:eastAsia="宋体" w:cs="Times New Roman"/>
      <w:sz w:val="32"/>
      <w:szCs w:val="20"/>
    </w:rPr>
  </w:style>
  <w:style w:type="table" w:styleId="728">
    <w:name w:val="网格型"/>
    <w:basedOn w:val="667"/>
    <w:next w:val="728"/>
    <w:link w:val="656"/>
    <w:pPr>
      <w:jc w:val="both"/>
      <w:widowControl w:val="off"/>
    </w:pPr>
    <w:rPr>
      <w:rFonts w:ascii="Times New Roman" w:hAnsi="Times New Roman" w:eastAsia="宋体" w:cs="Times New Roman"/>
      <w:sz w:val="20"/>
      <w:szCs w:val="20"/>
    </w:rPr>
    <w:tblPr/>
  </w:style>
  <w:style w:type="character" w:styleId="729">
    <w:name w:val="要点"/>
    <w:next w:val="729"/>
    <w:link w:val="656"/>
    <w:qFormat/>
    <w:rPr>
      <w:b/>
      <w:bCs/>
    </w:rPr>
  </w:style>
  <w:style w:type="character" w:styleId="730">
    <w:name w:val="页码"/>
    <w:next w:val="730"/>
    <w:link w:val="656"/>
  </w:style>
  <w:style w:type="character" w:styleId="731">
    <w:name w:val="已访问的超链接"/>
    <w:next w:val="731"/>
    <w:link w:val="656"/>
    <w:rPr>
      <w:color w:val="800080"/>
      <w:u w:val="single"/>
    </w:rPr>
  </w:style>
  <w:style w:type="character" w:styleId="732">
    <w:name w:val="强调"/>
    <w:next w:val="732"/>
    <w:link w:val="656"/>
    <w:qFormat/>
    <w:rPr>
      <w:i/>
    </w:rPr>
  </w:style>
  <w:style w:type="character" w:styleId="733">
    <w:name w:val="超链接"/>
    <w:next w:val="733"/>
    <w:link w:val="656"/>
    <w:rPr>
      <w:color w:val="0000ff"/>
      <w:u w:val="single"/>
    </w:rPr>
  </w:style>
  <w:style w:type="character" w:styleId="734">
    <w:name w:val="批注引用"/>
    <w:next w:val="734"/>
    <w:link w:val="656"/>
    <w:semiHidden/>
    <w:rPr>
      <w:sz w:val="21"/>
      <w:szCs w:val="21"/>
    </w:rPr>
  </w:style>
  <w:style w:type="paragraph" w:styleId="735">
    <w:name w:val="索引 41"/>
    <w:basedOn w:val="656"/>
    <w:next w:val="656"/>
    <w:link w:val="656"/>
    <w:semiHidden/>
    <w:qFormat/>
    <w:pPr>
      <w:ind w:left="1260"/>
    </w:pPr>
    <w:rPr>
      <w:rFonts w:ascii="Calibri" w:hAnsi="Calibri" w:eastAsia="Calibri" w:cs="宋体"/>
      <w:sz w:val="20"/>
      <w:lang w:val="zh-CN"/>
    </w:rPr>
  </w:style>
  <w:style w:type="paragraph" w:styleId="736">
    <w:name w:val="正文首行缩进 21"/>
    <w:basedOn w:val="737"/>
    <w:next w:val="656"/>
    <w:link w:val="656"/>
    <w:qFormat/>
    <w:pPr>
      <w:ind w:firstLine="420"/>
      <w:spacing w:line="360" w:lineRule="auto"/>
    </w:pPr>
    <w:rPr>
      <w:rFonts w:ascii="宋体" w:hAnsi="宋体" w:eastAsia="宋体"/>
      <w:sz w:val="21"/>
      <w:szCs w:val="20"/>
    </w:rPr>
  </w:style>
  <w:style w:type="paragraph" w:styleId="737">
    <w:name w:val="正文文本缩进11"/>
    <w:basedOn w:val="656"/>
    <w:next w:val="738"/>
    <w:link w:val="656"/>
    <w:qFormat/>
    <w:pPr>
      <w:ind w:firstLine="645"/>
    </w:pPr>
    <w:rPr>
      <w:rFonts w:ascii="楷体_GB2312" w:eastAsia="楷体_GB2312"/>
      <w:sz w:val="32"/>
      <w:szCs w:val="32"/>
    </w:rPr>
  </w:style>
  <w:style w:type="paragraph" w:styleId="738">
    <w:name w:val="寄信人地址1"/>
    <w:basedOn w:val="656"/>
    <w:next w:val="738"/>
    <w:link w:val="656"/>
    <w:qFormat/>
    <w:rPr>
      <w:rFonts w:ascii="Arial" w:hAnsi="Arial" w:eastAsia="宋体" w:cs="宋体"/>
    </w:rPr>
  </w:style>
  <w:style w:type="paragraph" w:styleId="739">
    <w:name w:val="标题 41"/>
    <w:basedOn w:val="656"/>
    <w:next w:val="740"/>
    <w:link w:val="656"/>
    <w:qFormat/>
    <w:pPr>
      <w:keepLines/>
      <w:keepNext/>
      <w:spacing w:before="280" w:after="290" w:line="376" w:lineRule="auto"/>
      <w:outlineLvl w:val="3"/>
    </w:pPr>
    <w:rPr>
      <w:rFonts w:ascii="Arial" w:hAnsi="Arial" w:eastAsia="黑体" w:cs="Arial"/>
      <w:b/>
      <w:bCs/>
      <w:sz w:val="28"/>
      <w:szCs w:val="28"/>
    </w:rPr>
  </w:style>
  <w:style w:type="paragraph" w:styleId="740">
    <w:name w:val="正文缩进1"/>
    <w:basedOn w:val="656"/>
    <w:next w:val="740"/>
    <w:link w:val="656"/>
    <w:qFormat/>
    <w:pPr>
      <w:ind w:firstLine="420"/>
    </w:pPr>
  </w:style>
  <w:style w:type="paragraph" w:styleId="741">
    <w:name w:val="正文文本12"/>
    <w:basedOn w:val="656"/>
    <w:next w:val="741"/>
    <w:link w:val="656"/>
    <w:uiPriority w:val="1"/>
    <w:qFormat/>
    <w:pPr>
      <w:ind w:left="120"/>
    </w:pPr>
    <w:rPr>
      <w:rFonts w:ascii="宋体" w:hAnsi="宋体" w:eastAsia="宋体" w:cs="宋体"/>
      <w:sz w:val="21"/>
      <w:szCs w:val="21"/>
      <w:lang w:val="zh-CN" w:eastAsia="zh-CN" w:bidi="zh-CN"/>
    </w:rPr>
  </w:style>
  <w:style w:type="character" w:styleId="742">
    <w:name w:val="font5 Char"/>
    <w:next w:val="742"/>
    <w:link w:val="656"/>
    <w:rPr>
      <w:rFonts w:ascii="宋体" w:hAnsi="宋体" w:eastAsia="宋体"/>
      <w:sz w:val="28"/>
      <w:szCs w:val="28"/>
      <w:lang w:val="en-US" w:eastAsia="zh-CN" w:bidi="ar-SA"/>
    </w:rPr>
  </w:style>
  <w:style w:type="character" w:styleId="743">
    <w:name w:val="二级目录 Char"/>
    <w:next w:val="743"/>
    <w:link w:val="744"/>
    <w:rPr>
      <w:b/>
      <w:sz w:val="30"/>
      <w:szCs w:val="28"/>
      <w:lang w:val="en-US" w:eastAsia="zh-CN" w:bidi="ar-SA"/>
    </w:rPr>
  </w:style>
  <w:style w:type="paragraph" w:styleId="744">
    <w:name w:val="二级目录"/>
    <w:next w:val="656"/>
    <w:link w:val="743"/>
    <w:pPr>
      <w:numPr>
        <w:ilvl w:val="0"/>
        <w:numId w:val="2"/>
      </w:numPr>
      <w:tabs>
        <w:tab w:val="left" w:pos="907" w:leader="none"/>
        <w:tab w:val="left" w:pos="1145" w:leader="none"/>
      </w:tabs>
      <w:outlineLvl w:val="1"/>
    </w:pPr>
    <w:rPr>
      <w:b/>
      <w:sz w:val="30"/>
      <w:szCs w:val="28"/>
      <w:lang w:val="en-US" w:eastAsia="zh-CN" w:bidi="ar-SA"/>
    </w:rPr>
  </w:style>
  <w:style w:type="character" w:styleId="745">
    <w:name w:val="列出段落 Char,Bullet List Char,numbered Char,FooterText Char,List Paragraph1 Char,Paragraphe de liste1 Char"/>
    <w:next w:val="745"/>
    <w:link w:val="746"/>
    <w:rPr>
      <w:rFonts w:ascii="Calibri" w:hAnsi="Calibri"/>
      <w:sz w:val="24"/>
      <w:szCs w:val="24"/>
      <w:lang w:eastAsia="en-US" w:bidi="en-US"/>
    </w:rPr>
  </w:style>
  <w:style w:type="paragraph" w:styleId="746">
    <w:name w:val="列出段落1"/>
    <w:basedOn w:val="656"/>
    <w:next w:val="746"/>
    <w:link w:val="745"/>
    <w:qFormat/>
    <w:pPr>
      <w:contextualSpacing/>
      <w:ind w:left="720"/>
      <w:jc w:val="left"/>
      <w:widowControl/>
    </w:pPr>
    <w:rPr>
      <w:rFonts w:ascii="Calibri" w:hAnsi="Calibri"/>
      <w:sz w:val="24"/>
      <w:szCs w:val="24"/>
      <w:lang w:eastAsia="en-US" w:bidi="en-US"/>
    </w:rPr>
  </w:style>
  <w:style w:type="paragraph" w:styleId="747">
    <w:name w:val="Body Text(ch)"/>
    <w:basedOn w:val="656"/>
    <w:next w:val="688"/>
    <w:link w:val="656"/>
    <w:pPr>
      <w:spacing w:after="120"/>
    </w:pPr>
    <w:rPr>
      <w:rFonts w:ascii="宋体" w:hAnsi="Arial"/>
      <w:bCs/>
      <w:iCs/>
      <w:szCs w:val="24"/>
    </w:rPr>
  </w:style>
  <w:style w:type="paragraph" w:styleId="748">
    <w:name w:val="xl27"/>
    <w:basedOn w:val="656"/>
    <w:next w:val="748"/>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9">
    <w:name w:val="xl26"/>
    <w:basedOn w:val="656"/>
    <w:next w:val="749"/>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0">
    <w:name w:val="Char"/>
    <w:basedOn w:val="656"/>
    <w:next w:val="750"/>
    <w:link w:val="656"/>
    <w:pPr>
      <w:ind w:firstLine="200"/>
      <w:tabs>
        <w:tab w:val="left" w:pos="360" w:leader="none"/>
      </w:tabs>
    </w:pPr>
    <w:rPr>
      <w:sz w:val="28"/>
      <w:szCs w:val="30"/>
    </w:rPr>
  </w:style>
  <w:style w:type="paragraph" w:styleId="751">
    <w:name w:val=" Char"/>
    <w:basedOn w:val="682"/>
    <w:next w:val="751"/>
    <w:link w:val="656"/>
    <w:rPr>
      <w:rFonts w:ascii="Tahoma" w:hAnsi="Tahoma"/>
      <w:sz w:val="24"/>
      <w:szCs w:val="24"/>
    </w:rPr>
  </w:style>
  <w:style w:type="paragraph" w:styleId="752">
    <w:name w:val="普通正文"/>
    <w:basedOn w:val="656"/>
    <w:next w:val="752"/>
    <w:link w:val="656"/>
    <w:pPr>
      <w:ind w:firstLine="480"/>
      <w:jc w:val="left"/>
      <w:spacing w:before="120" w:after="120" w:line="360" w:lineRule="auto"/>
    </w:pPr>
    <w:rPr>
      <w:rFonts w:ascii="Arial" w:hAnsi="Arial"/>
      <w:sz w:val="24"/>
      <w:szCs w:val="24"/>
    </w:rPr>
  </w:style>
  <w:style w:type="paragraph" w:styleId="753">
    <w:name w:val="table_lines"/>
    <w:basedOn w:val="656"/>
    <w:next w:val="753"/>
    <w:link w:val="656"/>
    <w:pPr>
      <w:jc w:val="left"/>
      <w:widowControl/>
    </w:pPr>
    <w:rPr>
      <w:sz w:val="20"/>
      <w:szCs w:val="20"/>
      <w:lang w:val="de-DE" w:eastAsia="de-DE"/>
    </w:rPr>
  </w:style>
  <w:style w:type="paragraph" w:styleId="754">
    <w:name w:val="附录1"/>
    <w:next w:val="754"/>
    <w:link w:val="656"/>
    <w:pPr>
      <w:numPr>
        <w:ilvl w:val="0"/>
        <w:numId w:val="2"/>
      </w:numPr>
      <w:spacing w:before="240" w:line="600" w:lineRule="atLeast"/>
      <w:tabs>
        <w:tab w:val="left" w:pos="907" w:leader="none"/>
      </w:tabs>
    </w:pPr>
    <w:rPr>
      <w:b/>
      <w:i/>
      <w:sz w:val="28"/>
      <w:lang w:val="en-US" w:eastAsia="zh-CN" w:bidi="ar-SA"/>
    </w:rPr>
  </w:style>
  <w:style w:type="paragraph" w:styleId="755">
    <w:name w:val="font7"/>
    <w:basedOn w:val="656"/>
    <w:next w:val="755"/>
    <w:link w:val="656"/>
    <w:pPr>
      <w:jc w:val="left"/>
      <w:spacing w:before="100" w:beforeAutospacing="1" w:after="100" w:afterAutospacing="1"/>
      <w:widowControl/>
    </w:pPr>
    <w:rPr>
      <w:rFonts w:hint="eastAsia" w:ascii="宋体" w:hAnsi="宋体"/>
      <w:sz w:val="18"/>
      <w:szCs w:val="18"/>
    </w:rPr>
  </w:style>
  <w:style w:type="paragraph" w:styleId="756">
    <w:name w:val=" Char Char Char Char"/>
    <w:basedOn w:val="682"/>
    <w:next w:val="756"/>
    <w:link w:val="656"/>
    <w:pPr>
      <w:spacing w:line="360" w:lineRule="auto"/>
    </w:pPr>
    <w:rPr>
      <w:rFonts w:ascii="Tahoma" w:hAnsi="Tahoma"/>
      <w:sz w:val="24"/>
      <w:szCs w:val="24"/>
    </w:rPr>
  </w:style>
  <w:style w:type="paragraph" w:styleId="757">
    <w:name w:val="列出段落"/>
    <w:basedOn w:val="656"/>
    <w:next w:val="757"/>
    <w:link w:val="656"/>
    <w:qFormat/>
    <w:pPr>
      <w:contextualSpacing/>
      <w:ind w:left="720"/>
      <w:jc w:val="left"/>
      <w:widowControl/>
    </w:pPr>
    <w:rPr>
      <w:rFonts w:ascii="Calibri" w:hAnsi="Calibri"/>
      <w:sz w:val="24"/>
      <w:szCs w:val="24"/>
      <w:lang w:eastAsia="en-US" w:bidi="en-US"/>
    </w:rPr>
  </w:style>
  <w:style w:type="paragraph" w:styleId="758">
    <w:name w:val="4"/>
    <w:basedOn w:val="656"/>
    <w:next w:val="713"/>
    <w:link w:val="656"/>
    <w:pPr>
      <w:ind w:firstLine="420"/>
      <w:spacing w:line="360" w:lineRule="auto"/>
    </w:pPr>
    <w:rPr>
      <w:color w:val="ff0000"/>
      <w:sz w:val="24"/>
      <w:szCs w:val="24"/>
    </w:rPr>
  </w:style>
  <w:style w:type="paragraph" w:styleId="759">
    <w:name w:val="普通 (Web)"/>
    <w:basedOn w:val="656"/>
    <w:next w:val="759"/>
    <w:link w:val="656"/>
    <w:pPr>
      <w:jc w:val="left"/>
      <w:spacing w:before="100" w:beforeAutospacing="1" w:after="100" w:afterAutospacing="1"/>
      <w:widowControl/>
    </w:pPr>
    <w:rPr>
      <w:rFonts w:ascii="宋体" w:hAnsi="宋体"/>
      <w:sz w:val="24"/>
      <w:szCs w:val="24"/>
    </w:rPr>
  </w:style>
  <w:style w:type="paragraph" w:styleId="760">
    <w:name w:val=" Char Char Char Char Char Char Char Char Char Char"/>
    <w:basedOn w:val="656"/>
    <w:next w:val="760"/>
    <w:link w:val="656"/>
    <w:pPr>
      <w:spacing w:line="360" w:lineRule="auto"/>
    </w:pPr>
    <w:rPr>
      <w:sz w:val="24"/>
      <w:szCs w:val="20"/>
    </w:rPr>
  </w:style>
  <w:style w:type="paragraph" w:styleId="761">
    <w:name w:val="样式1"/>
    <w:basedOn w:val="656"/>
    <w:next w:val="761"/>
    <w:link w:val="656"/>
    <w:pPr>
      <w:numPr>
        <w:ilvl w:val="0"/>
        <w:numId w:val="3"/>
      </w:numPr>
      <w:tabs>
        <w:tab w:val="left" w:pos="709" w:leader="none"/>
      </w:tabs>
    </w:pPr>
    <w:rPr>
      <w:rFonts w:ascii="宋体" w:hAnsi="宋体"/>
    </w:rPr>
  </w:style>
  <w:style w:type="paragraph" w:styleId="762">
    <w:name w:val="font6"/>
    <w:basedOn w:val="656"/>
    <w:next w:val="762"/>
    <w:link w:val="656"/>
    <w:pPr>
      <w:jc w:val="left"/>
      <w:spacing w:before="100" w:beforeAutospacing="1" w:after="100" w:afterAutospacing="1"/>
      <w:widowControl/>
    </w:pPr>
    <w:rPr>
      <w:rFonts w:hint="eastAsia" w:ascii="宋体" w:hAnsi="宋体"/>
      <w:sz w:val="28"/>
      <w:szCs w:val="28"/>
      <w:u w:val="single"/>
    </w:rPr>
  </w:style>
  <w:style w:type="paragraph" w:styleId="763">
    <w:name w:val="xl25"/>
    <w:basedOn w:val="656"/>
    <w:next w:val="763"/>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4">
    <w:name w:val="图标"/>
    <w:basedOn w:val="656"/>
    <w:next w:val="656"/>
    <w:link w:val="65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5">
    <w:name w:val="标题3"/>
    <w:basedOn w:val="656"/>
    <w:next w:val="656"/>
    <w:link w:val="656"/>
    <w:pPr>
      <w:ind w:firstLine="624"/>
      <w:spacing w:line="590" w:lineRule="atLeast"/>
    </w:pPr>
    <w:rPr>
      <w:rFonts w:ascii="方正黑体_GBK" w:eastAsia="方正黑体_GBK"/>
      <w:sz w:val="32"/>
      <w:szCs w:val="32"/>
    </w:rPr>
  </w:style>
  <w:style w:type="paragraph" w:styleId="766">
    <w:name w:val="xl24"/>
    <w:basedOn w:val="656"/>
    <w:next w:val="766"/>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7">
    <w:name w:val="xl29"/>
    <w:basedOn w:val="656"/>
    <w:next w:val="767"/>
    <w:link w:val="65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8">
    <w:name w:val="Char Char Char Char Char Char Char Char"/>
    <w:basedOn w:val="656"/>
    <w:next w:val="768"/>
    <w:link w:val="656"/>
    <w:pPr>
      <w:jc w:val="left"/>
      <w:spacing w:after="160" w:line="240" w:lineRule="exact"/>
      <w:widowControl/>
    </w:pPr>
    <w:rPr>
      <w:rFonts w:ascii="Verdana" w:hAnsi="Verdana"/>
      <w:sz w:val="20"/>
      <w:szCs w:val="20"/>
      <w:lang w:eastAsia="en-US"/>
    </w:rPr>
  </w:style>
  <w:style w:type="paragraph" w:styleId="769">
    <w:name w:val="xl28"/>
    <w:basedOn w:val="656"/>
    <w:next w:val="769"/>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0">
    <w:name w:val=" Char Char Char Char Char Char Char Char"/>
    <w:basedOn w:val="656"/>
    <w:next w:val="770"/>
    <w:link w:val="656"/>
    <w:pPr>
      <w:jc w:val="left"/>
      <w:spacing w:after="160" w:line="240" w:lineRule="exact"/>
      <w:widowControl/>
    </w:pPr>
    <w:rPr>
      <w:rFonts w:ascii="Verdana" w:hAnsi="Verdana"/>
      <w:sz w:val="20"/>
      <w:szCs w:val="20"/>
      <w:lang w:eastAsia="en-US"/>
    </w:rPr>
  </w:style>
  <w:style w:type="paragraph" w:styleId="771">
    <w:name w:val="xl30"/>
    <w:basedOn w:val="656"/>
    <w:next w:val="771"/>
    <w:link w:val="656"/>
    <w:pPr>
      <w:jc w:val="center"/>
      <w:spacing w:before="100" w:beforeAutospacing="1" w:after="100" w:afterAutospacing="1"/>
      <w:widowControl/>
    </w:pPr>
    <w:rPr>
      <w:rFonts w:ascii="宋体" w:hAnsi="宋体"/>
      <w:b/>
      <w:bCs/>
      <w:sz w:val="36"/>
      <w:szCs w:val="36"/>
    </w:rPr>
  </w:style>
  <w:style w:type="paragraph" w:styleId="772">
    <w:name w:val="Char Char Char Char"/>
    <w:basedOn w:val="682"/>
    <w:next w:val="772"/>
    <w:link w:val="656"/>
    <w:pPr>
      <w:spacing w:line="360" w:lineRule="auto"/>
    </w:pPr>
    <w:rPr>
      <w:rFonts w:ascii="Tahoma" w:hAnsi="Tahoma"/>
      <w:sz w:val="24"/>
      <w:szCs w:val="24"/>
    </w:rPr>
  </w:style>
  <w:style w:type="paragraph" w:styleId="773">
    <w:name w:val="table_1stline"/>
    <w:basedOn w:val="656"/>
    <w:next w:val="773"/>
    <w:link w:val="656"/>
    <w:pPr>
      <w:jc w:val="left"/>
      <w:spacing w:before="120"/>
      <w:widowControl/>
    </w:pPr>
    <w:rPr>
      <w:bCs/>
      <w:sz w:val="20"/>
      <w:szCs w:val="20"/>
      <w:lang w:val="de-DE" w:eastAsia="de-DE"/>
    </w:rPr>
  </w:style>
  <w:style w:type="paragraph" w:styleId="774">
    <w:name w:val="font5"/>
    <w:basedOn w:val="656"/>
    <w:next w:val="774"/>
    <w:link w:val="656"/>
    <w:pPr>
      <w:jc w:val="left"/>
      <w:spacing w:before="100" w:beforeAutospacing="1" w:after="100" w:afterAutospacing="1"/>
      <w:widowControl/>
    </w:pPr>
    <w:rPr>
      <w:rFonts w:hint="eastAsia" w:ascii="宋体" w:hAnsi="宋体"/>
      <w:sz w:val="28"/>
      <w:szCs w:val="28"/>
    </w:rPr>
  </w:style>
  <w:style w:type="paragraph" w:styleId="775">
    <w:name w:val="标题1"/>
    <w:basedOn w:val="656"/>
    <w:next w:val="656"/>
    <w:link w:val="656"/>
    <w:pPr>
      <w:jc w:val="center"/>
      <w:spacing w:line="700" w:lineRule="atLeast"/>
      <w:tabs>
        <w:tab w:val="left" w:pos="9193" w:leader="none"/>
        <w:tab w:val="left" w:pos="9827" w:leader="none"/>
      </w:tabs>
    </w:pPr>
    <w:rPr>
      <w:rFonts w:ascii="方正小标宋_GBK" w:eastAsia="方正小标宋_GBK"/>
      <w:sz w:val="44"/>
      <w:szCs w:val="20"/>
    </w:rPr>
  </w:style>
  <w:style w:type="paragraph" w:styleId="776">
    <w:name w:val="修订"/>
    <w:next w:val="776"/>
    <w:link w:val="656"/>
    <w:uiPriority w:val="99"/>
    <w:semiHidden/>
    <w:rPr>
      <w:sz w:val="21"/>
      <w:szCs w:val="21"/>
      <w:lang w:val="en-US" w:eastAsia="zh-CN" w:bidi="ar-SA"/>
    </w:rPr>
  </w:style>
  <w:style w:type="paragraph" w:styleId="777">
    <w:name w:val="无间隔"/>
    <w:next w:val="777"/>
    <w:link w:val="656"/>
    <w:uiPriority w:val="99"/>
    <w:qFormat/>
    <w:pPr>
      <w:jc w:val="both"/>
      <w:widowControl w:val="off"/>
    </w:pPr>
    <w:rPr>
      <w:sz w:val="21"/>
      <w:szCs w:val="21"/>
      <w:lang w:val="en-US" w:eastAsia="zh-CN" w:bidi="ar-SA"/>
    </w:rPr>
  </w:style>
  <w:style w:type="paragraph" w:styleId="778">
    <w:name w:val="正文文本 211"/>
    <w:basedOn w:val="656"/>
    <w:next w:val="778"/>
    <w:link w:val="656"/>
    <w:uiPriority w:val="99"/>
    <w:qFormat/>
    <w:pPr>
      <w:jc w:val="center"/>
    </w:pPr>
    <w:rPr>
      <w:b/>
      <w:bCs/>
      <w:sz w:val="20"/>
      <w:szCs w:val="20"/>
    </w:rPr>
  </w:style>
  <w:style w:type="table" w:styleId="779">
    <w:name w:val="Table Normal"/>
    <w:next w:val="779"/>
    <w:link w:val="656"/>
    <w:qFormat/>
    <w:rPr>
      <w:lang w:val="en-US" w:eastAsia="zh-CN" w:bidi="ar-SA"/>
    </w:rPr>
    <w:tblPr/>
  </w:style>
  <w:style w:type="paragraph" w:styleId="780">
    <w:name w:val="正文文本1"/>
    <w:basedOn w:val="656"/>
    <w:next w:val="656"/>
    <w:link w:val="656"/>
    <w:semiHidden/>
    <w:qFormat/>
    <w:rPr>
      <w:rFonts w:ascii="Arial" w:hAnsi="Arial" w:eastAsia="Arial" w:cs="Arial"/>
      <w:sz w:val="21"/>
      <w:szCs w:val="21"/>
      <w:lang w:val="en-US" w:eastAsia="en-US" w:bidi="ar-SA"/>
    </w:rPr>
  </w:style>
  <w:style w:type="paragraph" w:styleId="781">
    <w:name w:val="纯文本1"/>
    <w:basedOn w:val="656"/>
    <w:next w:val="781"/>
    <w:link w:val="656"/>
    <w:qFormat/>
    <w:rPr>
      <w:rFonts w:ascii="宋体" w:hAnsi="Courier New" w:cs="Courier New"/>
    </w:rPr>
  </w:style>
  <w:style w:type="table" w:styleId="782">
    <w:name w:val="网格型1"/>
    <w:basedOn w:val="783"/>
    <w:next w:val="782"/>
    <w:link w:val="656"/>
    <w:qFormat/>
    <w:pPr>
      <w:jc w:val="both"/>
      <w:widowControl w:val="off"/>
    </w:pPr>
    <w:tblPr/>
  </w:style>
  <w:style w:type="table" w:styleId="783">
    <w:name w:val="普通表格1"/>
    <w:next w:val="783"/>
    <w:link w:val="656"/>
    <w:uiPriority w:val="99"/>
    <w:unhideWhenUsed/>
    <w:qFormat/>
    <w:rPr>
      <w:lang w:val="en-US" w:eastAsia="zh-CN" w:bidi="ar-SA"/>
    </w:rPr>
    <w:tblPr/>
  </w:style>
  <w:style w:type="character" w:styleId="11152" w:default="1">
    <w:name w:val="Default Paragraph Font"/>
    <w:uiPriority w:val="1"/>
    <w:semiHidden/>
    <w:unhideWhenUsed/>
  </w:style>
  <w:style w:type="numbering" w:styleId="11153" w:default="1">
    <w:name w:val="No List"/>
    <w:uiPriority w:val="99"/>
    <w:semiHidden/>
    <w:unhideWhenUsed/>
  </w:style>
  <w:style w:type="table" w:styleId="111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3</cp:revision>
  <dcterms:created xsi:type="dcterms:W3CDTF">2023-03-17T18:16:00Z</dcterms:created>
  <dcterms:modified xsi:type="dcterms:W3CDTF">2026-05-11T09:16:43Z</dcterms:modified>
</cp:coreProperties>
</file>